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353F26">
      <w:pPr>
        <w:spacing w:line="700" w:lineRule="exact"/>
        <w:jc w:val="center"/>
        <w:rPr>
          <w:rFonts w:ascii="方正小标宋简体" w:eastAsia="方正小标宋简体"/>
          <w:color w:val="000000" w:themeColor="text1"/>
          <w:sz w:val="44"/>
          <w:szCs w:val="44"/>
          <w14:textFill>
            <w14:solidFill>
              <w14:schemeClr w14:val="tx1"/>
            </w14:solidFill>
          </w14:textFill>
        </w:rPr>
      </w:pPr>
      <w:r>
        <w:rPr>
          <w:rFonts w:hint="eastAsia" w:ascii="方正小标宋简体" w:eastAsia="方正小标宋简体"/>
          <w:color w:val="000000" w:themeColor="text1"/>
          <w:sz w:val="44"/>
          <w:szCs w:val="44"/>
          <w14:textFill>
            <w14:solidFill>
              <w14:schemeClr w14:val="tx1"/>
            </w14:solidFill>
          </w14:textFill>
        </w:rPr>
        <w:t>池州经济技术开发区生态环境局关于</w:t>
      </w:r>
      <w:bookmarkStart w:id="0" w:name="_Hlk78432418"/>
      <w:r>
        <w:rPr>
          <w:rFonts w:hint="eastAsia" w:ascii="方正小标宋简体" w:eastAsia="方正小标宋简体"/>
          <w:color w:val="000000" w:themeColor="text1"/>
          <w:sz w:val="44"/>
          <w:szCs w:val="44"/>
          <w14:textFill>
            <w14:solidFill>
              <w14:schemeClr w14:val="tx1"/>
            </w14:solidFill>
          </w14:textFill>
        </w:rPr>
        <w:t>安徽小爪宠物食品有限公司池州国际宠物产业园项目环境影响报告表</w:t>
      </w:r>
      <w:bookmarkEnd w:id="0"/>
      <w:r>
        <w:rPr>
          <w:rFonts w:hint="eastAsia" w:ascii="方正小标宋简体" w:eastAsia="方正小标宋简体"/>
          <w:color w:val="000000" w:themeColor="text1"/>
          <w:sz w:val="44"/>
          <w:szCs w:val="44"/>
          <w14:textFill>
            <w14:solidFill>
              <w14:schemeClr w14:val="tx1"/>
            </w14:solidFill>
          </w14:textFill>
        </w:rPr>
        <w:t>的批复</w:t>
      </w:r>
    </w:p>
    <w:p w14:paraId="14C44510">
      <w:pPr>
        <w:spacing w:line="560" w:lineRule="exact"/>
        <w:ind w:firstLine="420" w:firstLineChars="200"/>
        <w:rPr>
          <w:rFonts w:eastAsia="仿宋_GB2312"/>
          <w:color w:val="000000" w:themeColor="text1"/>
          <w:szCs w:val="21"/>
          <w14:textFill>
            <w14:solidFill>
              <w14:schemeClr w14:val="tx1"/>
            </w14:solidFill>
          </w14:textFill>
        </w:rPr>
      </w:pPr>
    </w:p>
    <w:p w14:paraId="489A2964">
      <w:pPr>
        <w:spacing w:line="560" w:lineRule="exact"/>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安徽小爪宠物食品有限公司</w:t>
      </w:r>
      <w:r>
        <w:rPr>
          <w:rFonts w:hint="eastAsia" w:ascii="仿宋_GB2312" w:hAnsi="仿宋_GB2312" w:eastAsia="仿宋_GB2312" w:cs="仿宋_GB2312"/>
          <w:color w:val="000000" w:themeColor="text1"/>
          <w:sz w:val="32"/>
          <w:szCs w:val="32"/>
          <w14:textFill>
            <w14:solidFill>
              <w14:schemeClr w14:val="tx1"/>
            </w14:solidFill>
          </w14:textFill>
        </w:rPr>
        <w:t>：</w:t>
      </w:r>
    </w:p>
    <w:p w14:paraId="5D32AC1B">
      <w:pPr>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你公司报来的《</w:t>
      </w:r>
      <w:r>
        <w:rPr>
          <w:rFonts w:hint="eastAsia" w:ascii="仿宋_GB2312" w:hAnsi="仿宋_GB2312" w:eastAsia="仿宋_GB2312" w:cs="仿宋_GB2312"/>
          <w:color w:val="000000" w:themeColor="text1"/>
          <w:sz w:val="32"/>
          <w:szCs w:val="32"/>
          <w:lang w:eastAsia="zh-CN"/>
          <w14:textFill>
            <w14:solidFill>
              <w14:schemeClr w14:val="tx1"/>
            </w14:solidFill>
          </w14:textFill>
        </w:rPr>
        <w:t>池州国际宠物产业园项目</w:t>
      </w:r>
      <w:r>
        <w:rPr>
          <w:rFonts w:hint="eastAsia" w:ascii="仿宋_GB2312" w:hAnsi="仿宋_GB2312" w:eastAsia="仿宋_GB2312" w:cs="仿宋_GB2312"/>
          <w:color w:val="000000" w:themeColor="text1"/>
          <w:sz w:val="32"/>
          <w:szCs w:val="32"/>
          <w14:textFill>
            <w14:solidFill>
              <w14:schemeClr w14:val="tx1"/>
            </w14:solidFill>
          </w14:textFill>
        </w:rPr>
        <w:t>环境影响报告表》（报批本）（以下简称《报告表》）等材料收悉。应你公司申请，我局于2</w:t>
      </w:r>
      <w:r>
        <w:rPr>
          <w:rFonts w:ascii="仿宋_GB2312" w:hAnsi="仿宋_GB2312" w:eastAsia="仿宋_GB2312" w:cs="仿宋_GB2312"/>
          <w:color w:val="000000" w:themeColor="text1"/>
          <w:sz w:val="32"/>
          <w:szCs w:val="32"/>
          <w14:textFill>
            <w14:solidFill>
              <w14:schemeClr w14:val="tx1"/>
            </w14:solidFill>
          </w14:textFill>
        </w:rPr>
        <w:t>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12</w:t>
      </w:r>
      <w:r>
        <w:rPr>
          <w:rFonts w:hint="eastAsia" w:ascii="仿宋_GB2312" w:hAnsi="仿宋_GB2312" w:eastAsia="仿宋_GB2312" w:cs="仿宋_GB2312"/>
          <w:color w:val="000000" w:themeColor="text1"/>
          <w:sz w:val="32"/>
          <w:szCs w:val="32"/>
          <w14:textFill>
            <w14:solidFill>
              <w14:schemeClr w14:val="tx1"/>
            </w14:solidFill>
          </w14:textFill>
        </w:rPr>
        <w:t>日组织专家对《报告表》进行了技术审查，经局专题会议研究通过并公示，现批复如下</w:t>
      </w:r>
      <w:r>
        <w:rPr>
          <w:rFonts w:hint="eastAsia" w:ascii="仿宋_GB2312" w:hAnsi="仿宋_GB2312" w:eastAsia="仿宋_GB2312" w:cs="仿宋_GB2312"/>
          <w:color w:val="000000" w:themeColor="text1"/>
          <w:spacing w:val="-2"/>
          <w:sz w:val="32"/>
          <w:szCs w:val="32"/>
          <w14:textFill>
            <w14:solidFill>
              <w14:schemeClr w14:val="tx1"/>
            </w14:solidFill>
          </w14:textFill>
        </w:rPr>
        <w:t>：</w:t>
      </w:r>
    </w:p>
    <w:p w14:paraId="7BEA82AE">
      <w:pPr>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一、项目概况。</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项目</w:t>
      </w:r>
      <w:r>
        <w:rPr>
          <w:rFonts w:hint="eastAsia" w:ascii="仿宋_GB2312" w:hAnsi="仿宋_GB2312" w:eastAsia="仿宋_GB2312" w:cs="仿宋_GB2312"/>
          <w:color w:val="000000" w:themeColor="text1"/>
          <w:sz w:val="32"/>
          <w:szCs w:val="32"/>
          <w14:textFill>
            <w14:solidFill>
              <w14:schemeClr w14:val="tx1"/>
            </w14:solidFill>
          </w14:textFill>
        </w:rPr>
        <w:t>位于</w:t>
      </w:r>
      <w:r>
        <w:rPr>
          <w:rFonts w:hint="eastAsia" w:ascii="仿宋_GB2312" w:hAnsi="仿宋_GB2312" w:eastAsia="仿宋_GB2312" w:cs="仿宋_GB2312"/>
          <w:color w:val="000000" w:themeColor="text1"/>
          <w:sz w:val="32"/>
          <w:szCs w:val="32"/>
          <w:lang w:eastAsia="zh-CN"/>
          <w14:textFill>
            <w14:solidFill>
              <w14:schemeClr w14:val="tx1"/>
            </w14:solidFill>
          </w14:textFill>
        </w:rPr>
        <w:t>安徽省池州经济技术开发区金鑫路以西、双平西路以南</w:t>
      </w:r>
      <w:r>
        <w:rPr>
          <w:rFonts w:hint="eastAsia" w:ascii="仿宋_GB2312" w:hAnsi="仿宋_GB2312" w:eastAsia="仿宋_GB2312" w:cs="仿宋_GB2312"/>
          <w:color w:val="000000" w:themeColor="text1"/>
          <w:sz w:val="32"/>
          <w:szCs w:val="32"/>
          <w14:textFill>
            <w14:solidFill>
              <w14:schemeClr w14:val="tx1"/>
            </w14:solidFill>
          </w14:textFill>
        </w:rPr>
        <w:t>。建设内容包括约40000平方米厂房建设及装修、年产2万吨宠物食品生产线、约20000平方米相关仓储物流、研发检测、办公等配套用房建设及装修。项目总投资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100000</w:t>
      </w:r>
      <w:r>
        <w:rPr>
          <w:rFonts w:hint="eastAsia" w:ascii="仿宋_GB2312" w:hAnsi="仿宋_GB2312" w:eastAsia="仿宋_GB2312" w:cs="仿宋_GB2312"/>
          <w:color w:val="000000" w:themeColor="text1"/>
          <w:sz w:val="32"/>
          <w:szCs w:val="32"/>
          <w14:textFill>
            <w14:solidFill>
              <w14:schemeClr w14:val="tx1"/>
            </w14:solidFill>
          </w14:textFill>
        </w:rPr>
        <w:t>万元，其中环保投资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105</w:t>
      </w:r>
      <w:r>
        <w:rPr>
          <w:rFonts w:hint="eastAsia" w:ascii="仿宋_GB2312" w:hAnsi="仿宋_GB2312" w:eastAsia="仿宋_GB2312" w:cs="仿宋_GB2312"/>
          <w:color w:val="000000" w:themeColor="text1"/>
          <w:sz w:val="32"/>
          <w:szCs w:val="32"/>
          <w14:textFill>
            <w14:solidFill>
              <w14:schemeClr w14:val="tx1"/>
            </w14:solidFill>
          </w14:textFill>
        </w:rPr>
        <w:t>万元，占总投资的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0.105</w:t>
      </w:r>
      <w:r>
        <w:rPr>
          <w:rFonts w:hint="eastAsia" w:ascii="仿宋_GB2312" w:hAnsi="仿宋_GB2312" w:eastAsia="仿宋_GB2312" w:cs="仿宋_GB2312"/>
          <w:color w:val="000000" w:themeColor="text1"/>
          <w:sz w:val="32"/>
          <w:szCs w:val="32"/>
          <w14:textFill>
            <w14:solidFill>
              <w14:schemeClr w14:val="tx1"/>
            </w14:solidFill>
          </w14:textFill>
        </w:rPr>
        <w:t>%。池州经济技术开发区经济发展局</w:t>
      </w:r>
      <w:r>
        <w:rPr>
          <w:rFonts w:hint="eastAsia" w:ascii="仿宋_GB2312" w:hAnsi="仿宋" w:eastAsia="仿宋_GB2312" w:cs="仿宋"/>
          <w:color w:val="000000" w:themeColor="text1"/>
          <w:spacing w:val="-2"/>
          <w:sz w:val="32"/>
          <w:szCs w:val="32"/>
          <w14:textFill>
            <w14:solidFill>
              <w14:schemeClr w14:val="tx1"/>
            </w14:solidFill>
          </w14:textFill>
        </w:rPr>
        <w:t>于2</w:t>
      </w:r>
      <w:r>
        <w:rPr>
          <w:rFonts w:ascii="仿宋_GB2312" w:hAnsi="仿宋" w:eastAsia="仿宋_GB2312" w:cs="仿宋"/>
          <w:color w:val="000000" w:themeColor="text1"/>
          <w:spacing w:val="-2"/>
          <w:sz w:val="32"/>
          <w:szCs w:val="32"/>
          <w14:textFill>
            <w14:solidFill>
              <w14:schemeClr w14:val="tx1"/>
            </w14:solidFill>
          </w14:textFill>
        </w:rPr>
        <w:t>02</w:t>
      </w:r>
      <w:r>
        <w:rPr>
          <w:rFonts w:hint="eastAsia" w:ascii="仿宋_GB2312" w:hAnsi="仿宋" w:eastAsia="仿宋_GB2312" w:cs="仿宋"/>
          <w:color w:val="000000" w:themeColor="text1"/>
          <w:spacing w:val="-2"/>
          <w:sz w:val="32"/>
          <w:szCs w:val="32"/>
          <w:lang w:val="en-US" w:eastAsia="zh-CN"/>
          <w14:textFill>
            <w14:solidFill>
              <w14:schemeClr w14:val="tx1"/>
            </w14:solidFill>
          </w14:textFill>
        </w:rPr>
        <w:t>6</w:t>
      </w:r>
      <w:r>
        <w:rPr>
          <w:rFonts w:hint="eastAsia" w:ascii="仿宋_GB2312" w:hAnsi="仿宋" w:eastAsia="仿宋_GB2312" w:cs="仿宋"/>
          <w:color w:val="000000" w:themeColor="text1"/>
          <w:spacing w:val="-2"/>
          <w:sz w:val="32"/>
          <w:szCs w:val="32"/>
          <w14:textFill>
            <w14:solidFill>
              <w14:schemeClr w14:val="tx1"/>
            </w14:solidFill>
          </w14:textFill>
        </w:rPr>
        <w:t>年</w:t>
      </w:r>
      <w:r>
        <w:rPr>
          <w:rFonts w:hint="eastAsia" w:ascii="仿宋_GB2312" w:hAnsi="仿宋" w:eastAsia="仿宋_GB2312" w:cs="仿宋"/>
          <w:color w:val="000000" w:themeColor="text1"/>
          <w:spacing w:val="-2"/>
          <w:sz w:val="32"/>
          <w:szCs w:val="32"/>
          <w:lang w:val="en-US" w:eastAsia="zh-CN"/>
          <w14:textFill>
            <w14:solidFill>
              <w14:schemeClr w14:val="tx1"/>
            </w14:solidFill>
          </w14:textFill>
        </w:rPr>
        <w:t>4</w:t>
      </w:r>
      <w:r>
        <w:rPr>
          <w:rFonts w:hint="eastAsia" w:ascii="仿宋_GB2312" w:hAnsi="仿宋" w:eastAsia="仿宋_GB2312" w:cs="仿宋"/>
          <w:color w:val="000000" w:themeColor="text1"/>
          <w:spacing w:val="-2"/>
          <w:sz w:val="32"/>
          <w:szCs w:val="32"/>
          <w14:textFill>
            <w14:solidFill>
              <w14:schemeClr w14:val="tx1"/>
            </w14:solidFill>
          </w14:textFill>
        </w:rPr>
        <w:t>月</w:t>
      </w:r>
      <w:r>
        <w:rPr>
          <w:rFonts w:hint="eastAsia" w:ascii="仿宋_GB2312" w:hAnsi="仿宋" w:eastAsia="仿宋_GB2312" w:cs="仿宋"/>
          <w:color w:val="000000" w:themeColor="text1"/>
          <w:spacing w:val="-2"/>
          <w:sz w:val="32"/>
          <w:szCs w:val="32"/>
          <w:lang w:val="en-US" w:eastAsia="zh-CN"/>
          <w14:textFill>
            <w14:solidFill>
              <w14:schemeClr w14:val="tx1"/>
            </w14:solidFill>
          </w14:textFill>
        </w:rPr>
        <w:t>16</w:t>
      </w:r>
      <w:r>
        <w:rPr>
          <w:rFonts w:hint="eastAsia" w:ascii="仿宋_GB2312" w:hAnsi="仿宋" w:eastAsia="仿宋_GB2312" w:cs="仿宋"/>
          <w:color w:val="000000" w:themeColor="text1"/>
          <w:spacing w:val="-2"/>
          <w:sz w:val="32"/>
          <w:szCs w:val="32"/>
          <w14:textFill>
            <w14:solidFill>
              <w14:schemeClr w14:val="tx1"/>
            </w14:solidFill>
          </w14:textFill>
        </w:rPr>
        <w:t>日以池开管经〔2025〕</w:t>
      </w:r>
      <w:r>
        <w:rPr>
          <w:rFonts w:hint="eastAsia" w:ascii="仿宋_GB2312" w:hAnsi="仿宋" w:eastAsia="仿宋_GB2312" w:cs="仿宋"/>
          <w:color w:val="000000" w:themeColor="text1"/>
          <w:spacing w:val="-2"/>
          <w:sz w:val="32"/>
          <w:szCs w:val="32"/>
          <w:lang w:val="en-US" w:eastAsia="zh-CN"/>
          <w14:textFill>
            <w14:solidFill>
              <w14:schemeClr w14:val="tx1"/>
            </w14:solidFill>
          </w14:textFill>
        </w:rPr>
        <w:t>193</w:t>
      </w:r>
      <w:r>
        <w:rPr>
          <w:rFonts w:hint="eastAsia" w:ascii="仿宋_GB2312" w:hAnsi="仿宋" w:eastAsia="仿宋_GB2312" w:cs="仿宋"/>
          <w:color w:val="000000" w:themeColor="text1"/>
          <w:spacing w:val="-2"/>
          <w:sz w:val="32"/>
          <w:szCs w:val="32"/>
          <w14:textFill>
            <w14:solidFill>
              <w14:schemeClr w14:val="tx1"/>
            </w14:solidFill>
          </w14:textFill>
        </w:rPr>
        <w:t>号对项目予以备案（项目代码：2510-341761-04-01-588195）。</w:t>
      </w:r>
    </w:p>
    <w:p w14:paraId="231DA42C">
      <w:pPr>
        <w:overflowPunct w:val="0"/>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二、原则同意《报告表》的技术评审意见和环境影响评价总体结论，你公司应严格按照《报告表》中所列项目性质、规模、地点、采用的生产工艺、环境保护措施开展建设和运营。</w:t>
      </w:r>
    </w:p>
    <w:p w14:paraId="0286BB40">
      <w:pPr>
        <w:overflowPunct w:val="0"/>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三、生态环境保护措施和污染物排放控制要求</w:t>
      </w:r>
    </w:p>
    <w:p w14:paraId="70AB9604">
      <w:pPr>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（一）切实加强全厂废气收集、处理系统设计建设和维护管理。</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烘干工序废气经设备密闭收集，</w:t>
      </w:r>
      <w:r>
        <w:rPr>
          <w:rFonts w:hint="eastAsia" w:ascii="仿宋_GB2312" w:hAnsi="仿宋_GB2312" w:eastAsia="仿宋_GB2312" w:cs="仿宋_GB2312"/>
          <w:color w:val="000000" w:themeColor="text1"/>
          <w:sz w:val="32"/>
          <w:szCs w:val="32"/>
          <w14:textFill>
            <w14:solidFill>
              <w14:schemeClr w14:val="tx1"/>
            </w14:solidFill>
          </w14:textFill>
        </w:rPr>
        <w:t>蒸煮工序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废气经集气罩收集，上述废气</w:t>
      </w:r>
      <w:r>
        <w:rPr>
          <w:rFonts w:hint="eastAsia" w:ascii="仿宋_GB2312" w:hAnsi="仿宋_GB2312" w:eastAsia="仿宋_GB2312" w:cs="仿宋_GB2312"/>
          <w:color w:val="000000" w:themeColor="text1"/>
          <w:sz w:val="32"/>
          <w:szCs w:val="32"/>
          <w14:textFill>
            <w14:solidFill>
              <w14:schemeClr w14:val="tx1"/>
            </w14:solidFill>
          </w14:textFill>
        </w:rPr>
        <w:t>通过静电式油雾净化器+除臭喷淋塔处理后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由</w:t>
      </w:r>
      <w:r>
        <w:rPr>
          <w:rFonts w:hint="eastAsia" w:ascii="仿宋_GB2312" w:hAnsi="仿宋_GB2312" w:eastAsia="仿宋_GB2312" w:cs="仿宋_GB2312"/>
          <w:color w:val="000000" w:themeColor="text1"/>
          <w:sz w:val="32"/>
          <w:szCs w:val="32"/>
          <w14:textFill>
            <w14:solidFill>
              <w14:schemeClr w14:val="tx1"/>
            </w14:solidFill>
          </w14:textFill>
        </w:rPr>
        <w:t>一根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w:t>
      </w:r>
      <w:r>
        <w:rPr>
          <w:rFonts w:hint="eastAsia" w:ascii="仿宋_GB2312" w:hAnsi="仿宋_GB2312" w:eastAsia="仿宋_GB2312" w:cs="仿宋_GB2312"/>
          <w:color w:val="000000" w:themeColor="text1"/>
          <w:sz w:val="32"/>
          <w:szCs w:val="32"/>
          <w14:textFill>
            <w14:solidFill>
              <w14:schemeClr w14:val="tx1"/>
            </w14:solidFill>
          </w14:textFill>
        </w:rPr>
        <w:t>m</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高</w:t>
      </w:r>
      <w:r>
        <w:rPr>
          <w:rFonts w:hint="eastAsia" w:ascii="仿宋_GB2312" w:hAnsi="仿宋_GB2312" w:eastAsia="仿宋_GB2312" w:cs="仿宋_GB2312"/>
          <w:color w:val="000000" w:themeColor="text1"/>
          <w:sz w:val="32"/>
          <w:szCs w:val="32"/>
          <w14:textFill>
            <w14:solidFill>
              <w14:schemeClr w14:val="tx1"/>
            </w14:solidFill>
          </w14:textFill>
        </w:rPr>
        <w:t>排气筒（</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DA001</w:t>
      </w:r>
      <w:r>
        <w:rPr>
          <w:rFonts w:hint="eastAsia" w:ascii="仿宋_GB2312" w:hAnsi="仿宋_GB2312" w:eastAsia="仿宋_GB2312" w:cs="仿宋_GB2312"/>
          <w:color w:val="000000" w:themeColor="text1"/>
          <w:sz w:val="32"/>
          <w:szCs w:val="32"/>
          <w14:textFill>
            <w14:solidFill>
              <w14:schemeClr w14:val="tx1"/>
            </w14:solidFill>
          </w14:textFill>
        </w:rPr>
        <w:t>）排放；污水处理站产生的氨、硫化氢、臭气浓度经密闭加盖收集</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通过</w:t>
      </w:r>
      <w:r>
        <w:rPr>
          <w:rFonts w:hint="eastAsia" w:ascii="仿宋_GB2312" w:hAnsi="仿宋_GB2312" w:eastAsia="仿宋_GB2312" w:cs="仿宋_GB2312"/>
          <w:color w:val="000000" w:themeColor="text1"/>
          <w:sz w:val="32"/>
          <w:szCs w:val="32"/>
          <w:lang w:eastAsia="zh-CN"/>
          <w14:textFill>
            <w14:solidFill>
              <w14:schemeClr w14:val="tx1"/>
            </w14:solidFill>
          </w14:textFill>
        </w:rPr>
        <w:t>生物除臭塔</w:t>
      </w:r>
      <w:r>
        <w:rPr>
          <w:rFonts w:hint="eastAsia" w:ascii="仿宋_GB2312" w:hAnsi="仿宋_GB2312" w:eastAsia="仿宋_GB2312" w:cs="仿宋_GB2312"/>
          <w:color w:val="000000" w:themeColor="text1"/>
          <w:sz w:val="32"/>
          <w:szCs w:val="32"/>
          <w14:textFill>
            <w14:solidFill>
              <w14:schemeClr w14:val="tx1"/>
            </w14:solidFill>
          </w14:textFill>
        </w:rPr>
        <w:t>处理后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由</w:t>
      </w:r>
      <w:r>
        <w:rPr>
          <w:rFonts w:hint="eastAsia" w:ascii="仿宋_GB2312" w:hAnsi="仿宋_GB2312" w:eastAsia="仿宋_GB2312" w:cs="仿宋_GB2312"/>
          <w:color w:val="000000" w:themeColor="text1"/>
          <w:sz w:val="32"/>
          <w:szCs w:val="32"/>
          <w14:textFill>
            <w14:solidFill>
              <w14:schemeClr w14:val="tx1"/>
            </w14:solidFill>
          </w14:textFill>
        </w:rPr>
        <w:t>一根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w:t>
      </w:r>
      <w:r>
        <w:rPr>
          <w:rFonts w:hint="eastAsia" w:ascii="仿宋_GB2312" w:hAnsi="仿宋_GB2312" w:eastAsia="仿宋_GB2312" w:cs="仿宋_GB2312"/>
          <w:color w:val="000000" w:themeColor="text1"/>
          <w:sz w:val="32"/>
          <w:szCs w:val="32"/>
          <w14:textFill>
            <w14:solidFill>
              <w14:schemeClr w14:val="tx1"/>
            </w14:solidFill>
          </w14:textFill>
        </w:rPr>
        <w:t>m排气筒</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高</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DA002</w:t>
      </w:r>
      <w:r>
        <w:rPr>
          <w:rFonts w:hint="eastAsia" w:ascii="仿宋_GB2312" w:hAnsi="仿宋_GB2312" w:eastAsia="仿宋_GB2312" w:cs="仿宋_GB2312"/>
          <w:color w:val="000000" w:themeColor="text1"/>
          <w:sz w:val="32"/>
          <w:szCs w:val="32"/>
          <w14:textFill>
            <w14:solidFill>
              <w14:schemeClr w14:val="tx1"/>
            </w14:solidFill>
          </w14:textFill>
        </w:rPr>
        <w:t>）排放。</w:t>
      </w:r>
    </w:p>
    <w:p w14:paraId="001E5269">
      <w:pPr>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项目蒸煮、烘干过程产生的油烟参照执行《饮食业油烟排放标准（试行）》（GB 18483-2001）中大型限值要求</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产生的</w:t>
      </w:r>
      <w:r>
        <w:rPr>
          <w:rFonts w:hint="eastAsia" w:ascii="仿宋_GB2312" w:hAnsi="仿宋_GB2312" w:eastAsia="仿宋_GB2312" w:cs="仿宋_GB2312"/>
          <w:color w:val="000000" w:themeColor="text1"/>
          <w:sz w:val="32"/>
          <w:szCs w:val="32"/>
          <w14:textFill>
            <w14:solidFill>
              <w14:schemeClr w14:val="tx1"/>
            </w14:solidFill>
          </w14:textFill>
        </w:rPr>
        <w:t>臭气浓度有组织排放执行《恶臭污染物排放标准》（GB 14554-1993）表2限值要求</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污水处理站产生的NH</w:t>
      </w:r>
      <w:r>
        <w:rPr>
          <w:rFonts w:hint="eastAsia" w:ascii="仿宋_GB2312" w:hAnsi="仿宋_GB2312" w:eastAsia="仿宋_GB2312" w:cs="仿宋_GB2312"/>
          <w:color w:val="000000" w:themeColor="text1"/>
          <w:sz w:val="32"/>
          <w:szCs w:val="32"/>
          <w:vertAlign w:val="subscript"/>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、H</w:t>
      </w:r>
      <w:r>
        <w:rPr>
          <w:rFonts w:hint="eastAsia" w:ascii="仿宋_GB2312" w:hAnsi="仿宋_GB2312" w:eastAsia="仿宋_GB2312" w:cs="仿宋_GB2312"/>
          <w:color w:val="000000" w:themeColor="text1"/>
          <w:sz w:val="32"/>
          <w:szCs w:val="32"/>
          <w:vertAlign w:val="subscript"/>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S、臭气浓度执行《恶臭污染物排放标准》（GB 14554-1993）表2限值要求</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食堂油烟排放参照执行《饮食业油烟排放标准（试行）》（GB 18483-2001）中大型限值要求</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厂界非甲烷总烃执行《大气污染物综合排放标准》（GB 16297-1996）表2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相关</w:t>
      </w:r>
      <w:r>
        <w:rPr>
          <w:rFonts w:hint="eastAsia" w:ascii="仿宋_GB2312" w:hAnsi="仿宋_GB2312" w:eastAsia="仿宋_GB2312" w:cs="仿宋_GB2312"/>
          <w:color w:val="000000" w:themeColor="text1"/>
          <w:sz w:val="32"/>
          <w:szCs w:val="32"/>
          <w14:textFill>
            <w14:solidFill>
              <w14:schemeClr w14:val="tx1"/>
            </w14:solidFill>
          </w14:textFill>
        </w:rPr>
        <w:t>限值要求</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厂区内非甲烷总烃执行《挥发性有机物无组织排放控制标准》（GB37822-2019）中表A.1厂</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相关</w:t>
      </w:r>
      <w:r>
        <w:rPr>
          <w:rFonts w:hint="eastAsia" w:ascii="仿宋_GB2312" w:hAnsi="仿宋_GB2312" w:eastAsia="仿宋_GB2312" w:cs="仿宋_GB2312"/>
          <w:color w:val="000000" w:themeColor="text1"/>
          <w:sz w:val="32"/>
          <w:szCs w:val="32"/>
          <w14:textFill>
            <w14:solidFill>
              <w14:schemeClr w14:val="tx1"/>
            </w14:solidFill>
          </w14:textFill>
        </w:rPr>
        <w:t>排放限值</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60587A0F">
      <w:pPr>
        <w:numPr>
          <w:ilvl w:val="0"/>
          <w:numId w:val="0"/>
        </w:numPr>
        <w:spacing w:line="560" w:lineRule="exact"/>
        <w:ind w:firstLine="632" w:firstLineChars="200"/>
        <w:rPr>
          <w:rFonts w:hint="default" w:ascii="仿宋_GB2312" w:hAnsi="仿宋_GB2312" w:eastAsia="仿宋_GB2312" w:cs="仿宋_GB2312"/>
          <w:color w:val="000000" w:themeColor="text1"/>
          <w:spacing w:val="-2"/>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pacing w:val="-2"/>
          <w:kern w:val="2"/>
          <w:sz w:val="32"/>
          <w:szCs w:val="32"/>
          <w:lang w:val="en-US" w:eastAsia="zh-CN" w:bidi="ar-SA"/>
          <w14:textFill>
            <w14:solidFill>
              <w14:schemeClr w14:val="tx1"/>
            </w14:solidFill>
          </w14:textFill>
        </w:rPr>
        <w:t>（二）</w:t>
      </w:r>
      <w:r>
        <w:rPr>
          <w:rFonts w:hint="eastAsia" w:ascii="仿宋_GB2312" w:hAnsi="仿宋_GB2312" w:eastAsia="仿宋_GB2312" w:cs="仿宋_GB2312"/>
          <w:color w:val="000000" w:themeColor="text1"/>
          <w:spacing w:val="-2"/>
          <w:sz w:val="32"/>
          <w:szCs w:val="32"/>
          <w14:textFill>
            <w14:solidFill>
              <w14:schemeClr w14:val="tx1"/>
            </w14:solidFill>
          </w14:textFill>
        </w:rPr>
        <w:t>按照“清污分流、雨污分流、分类收集、分质处理”的原则设计、建设和使用厂区排水系统。项目</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废水包括</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生产废水（解冻</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废</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水、鱼、畜禽类清洗废水、设备清洗废水、地面冲洗废水、杀菌锅废水、喷淋塔废水、冻干冷凝水、烘干冷凝水）</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和生活污水。</w:t>
      </w:r>
      <w:r>
        <w:rPr>
          <w:rFonts w:hint="eastAsia" w:ascii="仿宋_GB2312" w:hAnsi="仿宋_GB2312" w:eastAsia="仿宋_GB2312" w:cs="仿宋_GB2312"/>
          <w:color w:val="000000" w:themeColor="text1"/>
          <w:spacing w:val="-2"/>
          <w:sz w:val="32"/>
          <w:szCs w:val="32"/>
          <w14:textFill>
            <w14:solidFill>
              <w14:schemeClr w14:val="tx1"/>
            </w14:solidFill>
          </w14:textFill>
        </w:rPr>
        <w:t>生产废水经污水处理设施（调节池+气浮+A/O生化+二沉池，200t/d）处理</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后，与经隔油池+化粪池预处理的生活污水一起通过污水管网排入城东污水处理厂。</w:t>
      </w:r>
    </w:p>
    <w:p w14:paraId="40DE123F">
      <w:pPr>
        <w:spacing w:line="560" w:lineRule="exact"/>
        <w:ind w:firstLine="632"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外排废水应执行</w:t>
      </w:r>
      <w:r>
        <w:rPr>
          <w:rFonts w:hint="eastAsia" w:ascii="仿宋_GB2312" w:hAnsi="仿宋_GB2312" w:eastAsia="仿宋_GB2312" w:cs="仿宋_GB2312"/>
          <w:color w:val="000000" w:themeColor="text1"/>
          <w:spacing w:val="-2"/>
          <w:sz w:val="32"/>
          <w:szCs w:val="32"/>
          <w14:textFill>
            <w14:solidFill>
              <w14:schemeClr w14:val="tx1"/>
            </w14:solidFill>
          </w14:textFill>
        </w:rPr>
        <w:t>城东污水处理厂接管限值，其中特征因子动植物油执行《屠宰及肉类加工工业水污染物排放标准》（GB13457-2025）的</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相关排放限值</w:t>
      </w:r>
      <w:r>
        <w:rPr>
          <w:rFonts w:hint="eastAsia" w:ascii="仿宋_GB2312" w:hAnsi="仿宋_GB2312" w:eastAsia="仿宋_GB2312" w:cs="仿宋_GB2312"/>
          <w:color w:val="000000" w:themeColor="text1"/>
          <w:spacing w:val="-2"/>
          <w:sz w:val="32"/>
          <w:szCs w:val="32"/>
          <w14:textFill>
            <w14:solidFill>
              <w14:schemeClr w14:val="tx1"/>
            </w14:solidFill>
          </w14:textFill>
        </w:rPr>
        <w:t>。</w:t>
      </w:r>
    </w:p>
    <w:p w14:paraId="5F6455DF">
      <w:pPr>
        <w:spacing w:line="560" w:lineRule="exact"/>
        <w:ind w:firstLine="632"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（三）</w:t>
      </w:r>
      <w:r>
        <w:rPr>
          <w:rFonts w:hint="eastAsia" w:eastAsia="仿宋_GB2312"/>
          <w:color w:val="000000" w:themeColor="text1"/>
          <w:spacing w:val="-2"/>
          <w:sz w:val="32"/>
          <w:szCs w:val="32"/>
          <w14:textFill>
            <w14:solidFill>
              <w14:schemeClr w14:val="tx1"/>
            </w14:solidFill>
          </w14:textFill>
        </w:rPr>
        <w:t>优先选用低噪声设备，合理布置高噪声设备，对高噪声设备采取基础减振、隔声、消声等降噪措施，高噪声设备尽可能远离噪声敏感区。</w:t>
      </w:r>
      <w:r>
        <w:rPr>
          <w:rFonts w:hint="eastAsia" w:ascii="仿宋_GB2312" w:hAnsi="仿宋_GB2312" w:eastAsia="仿宋_GB2312" w:cs="仿宋_GB2312"/>
          <w:color w:val="000000" w:themeColor="text1"/>
          <w:spacing w:val="-2"/>
          <w:sz w:val="32"/>
          <w:szCs w:val="32"/>
          <w14:textFill>
            <w14:solidFill>
              <w14:schemeClr w14:val="tx1"/>
            </w14:solidFill>
          </w14:textFill>
        </w:rPr>
        <w:t>厂界噪声应满足《工业企业厂界环境噪声排放标准》（GB12348-2008）中3类标准限值。</w:t>
      </w:r>
    </w:p>
    <w:p w14:paraId="7421093D">
      <w:pPr>
        <w:keepNext w:val="0"/>
        <w:keepLines w:val="0"/>
        <w:pageBreakBefore w:val="0"/>
        <w:widowControl w:val="0"/>
        <w:kinsoku/>
        <w:wordWrap/>
        <w:topLinePunct w:val="0"/>
        <w:autoSpaceDE/>
        <w:autoSpaceDN/>
        <w:bidi w:val="0"/>
        <w:adjustRightInd/>
        <w:snapToGrid/>
        <w:spacing w:line="540" w:lineRule="exact"/>
        <w:ind w:firstLine="632" w:firstLineChars="200"/>
        <w:textAlignment w:val="auto"/>
      </w:pPr>
      <w:r>
        <w:rPr>
          <w:rFonts w:hint="eastAsia" w:ascii="仿宋_GB2312" w:hAnsi="仿宋_GB2312" w:eastAsia="仿宋_GB2312" w:cs="仿宋_GB2312"/>
          <w:color w:val="000000" w:themeColor="text1"/>
          <w:spacing w:val="-2"/>
          <w:sz w:val="32"/>
          <w:szCs w:val="32"/>
          <w14:textFill>
            <w14:solidFill>
              <w14:schemeClr w14:val="tx1"/>
            </w14:solidFill>
          </w14:textFill>
        </w:rPr>
        <w:t>（四）</w:t>
      </w:r>
      <w:r>
        <w:rPr>
          <w:rFonts w:hint="eastAsia" w:ascii="仿宋_GB2312" w:hAnsi="仿宋_GB2312" w:eastAsia="仿宋_GB2312" w:cs="仿宋_GB2312"/>
          <w:spacing w:val="-2"/>
          <w:sz w:val="32"/>
          <w:szCs w:val="32"/>
        </w:rPr>
        <w:t>固体废物处理处置应遵循“减量化、资源化、无害化”的原则，对固体废物的产生、运输、贮存、处理和处置实施全过程控制。一般工业固体废物暂存库参照《一般工业固体废物贮存和填埋污染控制标准》(GB18599-2020)要求规范设置；</w:t>
      </w:r>
      <w:r>
        <w:rPr>
          <w:rFonts w:hint="eastAsia" w:ascii="仿宋_GB2312" w:hAnsi="仿宋_GB2312" w:eastAsia="仿宋_GB2312" w:cs="仿宋_GB2312"/>
          <w:color w:val="000000" w:themeColor="text1"/>
          <w:spacing w:val="-2"/>
          <w:sz w:val="32"/>
          <w:szCs w:val="32"/>
          <w14:textFill>
            <w14:solidFill>
              <w14:schemeClr w14:val="tx1"/>
            </w14:solidFill>
          </w14:textFill>
        </w:rPr>
        <w:t>废矿物油桶</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2"/>
          <w:sz w:val="32"/>
          <w:szCs w:val="32"/>
          <w14:textFill>
            <w14:solidFill>
              <w14:schemeClr w14:val="tx1"/>
            </w14:solidFill>
          </w14:textFill>
        </w:rPr>
        <w:t>废润滑油</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2"/>
          <w:sz w:val="32"/>
          <w:szCs w:val="32"/>
          <w14:textFill>
            <w14:solidFill>
              <w14:schemeClr w14:val="tx1"/>
            </w14:solidFill>
          </w14:textFill>
        </w:rPr>
        <w:t>含油抹布手套</w:t>
      </w:r>
      <w:r>
        <w:rPr>
          <w:rFonts w:hint="eastAsia" w:ascii="仿宋_GB2312" w:hAnsi="仿宋_GB2312" w:eastAsia="仿宋_GB2312" w:cs="仿宋_GB2312"/>
          <w:spacing w:val="-2"/>
          <w:sz w:val="32"/>
          <w:szCs w:val="32"/>
          <w:lang w:val="en-US" w:eastAsia="zh-CN"/>
        </w:rPr>
        <w:t>等危险废物暂存后委托有资质单位处置；</w:t>
      </w:r>
      <w:r>
        <w:rPr>
          <w:rFonts w:hint="eastAsia" w:ascii="仿宋_GB2312" w:hAnsi="仿宋_GB2312" w:eastAsia="仿宋_GB2312" w:cs="仿宋_GB2312"/>
          <w:spacing w:val="-2"/>
          <w:sz w:val="32"/>
          <w:szCs w:val="32"/>
        </w:rPr>
        <w:t>对列入《国家危险废物名录》附录《危险废物免管理清单》中的危险废物，在所列的豁免环节，且满足相应的豁免条件时可以按照豁免内容的规定实行豁免管理;危险废物暂存间（</w:t>
      </w:r>
      <w:r>
        <w:rPr>
          <w:rFonts w:hint="eastAsia" w:ascii="仿宋_GB2312" w:hAnsi="仿宋_GB2312" w:eastAsia="仿宋_GB2312" w:cs="仿宋_GB2312"/>
          <w:spacing w:val="-2"/>
          <w:sz w:val="32"/>
          <w:szCs w:val="32"/>
          <w:lang w:val="en-US" w:eastAsia="zh-CN"/>
        </w:rPr>
        <w:t>新建，15m</w:t>
      </w:r>
      <w:r>
        <w:rPr>
          <w:rFonts w:hint="eastAsia" w:ascii="仿宋_GB2312" w:hAnsi="仿宋_GB2312" w:eastAsia="仿宋_GB2312" w:cs="仿宋_GB2312"/>
          <w:spacing w:val="-2"/>
          <w:sz w:val="32"/>
          <w:szCs w:val="32"/>
          <w:vertAlign w:val="superscript"/>
          <w:lang w:val="en-US" w:eastAsia="zh-CN"/>
        </w:rPr>
        <w:t>2</w:t>
      </w:r>
      <w:r>
        <w:rPr>
          <w:rFonts w:hint="eastAsia" w:ascii="仿宋_GB2312" w:hAnsi="仿宋_GB2312" w:eastAsia="仿宋_GB2312" w:cs="仿宋_GB2312"/>
          <w:spacing w:val="-2"/>
          <w:sz w:val="32"/>
          <w:szCs w:val="32"/>
        </w:rPr>
        <w:t>）应满足《危险废物贮存污染控制标准》（GB18597-2023）规范要求；危险废物规范化管理应按照《“十四五”全国危险废物规范化环境管理评估工作方案》要求强化管理，特别是临时贮存、转运等环节的防治措施；生活垃圾交由当地环卫部门定期处理</w:t>
      </w:r>
      <w:r>
        <w:rPr>
          <w:rFonts w:hint="eastAsia" w:ascii="仿宋_GB2312" w:hAnsi="仿宋_GB2312" w:eastAsia="仿宋_GB2312" w:cs="仿宋_GB2312"/>
          <w:sz w:val="32"/>
          <w:szCs w:val="32"/>
        </w:rPr>
        <w:t>。</w:t>
      </w:r>
    </w:p>
    <w:p w14:paraId="6DF5B14A">
      <w:pPr>
        <w:spacing w:line="560" w:lineRule="exact"/>
        <w:ind w:firstLine="632" w:firstLineChars="200"/>
        <w:rPr>
          <w:rFonts w:eastAsia="仿宋_GB2312"/>
          <w:color w:val="000000" w:themeColor="text1"/>
          <w:spacing w:val="-2"/>
          <w:sz w:val="32"/>
          <w:szCs w:val="32"/>
          <w14:textFill>
            <w14:solidFill>
              <w14:schemeClr w14:val="tx1"/>
            </w14:solidFill>
          </w14:textFill>
        </w:rPr>
      </w:pPr>
      <w:r>
        <w:rPr>
          <w:rFonts w:hint="eastAsia" w:eastAsia="仿宋_GB2312"/>
          <w:color w:val="000000" w:themeColor="text1"/>
          <w:spacing w:val="-2"/>
          <w:sz w:val="32"/>
          <w:szCs w:val="32"/>
          <w14:textFill>
            <w14:solidFill>
              <w14:schemeClr w14:val="tx1"/>
            </w14:solidFill>
          </w14:textFill>
        </w:rPr>
        <w:t>四、项目建设和生产过程中应重点做好以下工作：</w:t>
      </w:r>
    </w:p>
    <w:p w14:paraId="6700DB4E">
      <w:pPr>
        <w:overflowPunct w:val="0"/>
        <w:spacing w:line="560" w:lineRule="exact"/>
        <w:ind w:firstLine="632" w:firstLineChars="200"/>
        <w:jc w:val="both"/>
        <w:rPr>
          <w:rFonts w:hint="eastAsia" w:eastAsia="仿宋_GB2312"/>
          <w:color w:val="000000" w:themeColor="text1"/>
          <w:spacing w:val="-2"/>
          <w:sz w:val="32"/>
          <w:szCs w:val="32"/>
          <w14:textFill>
            <w14:solidFill>
              <w14:schemeClr w14:val="tx1"/>
            </w14:solidFill>
          </w14:textFill>
        </w:rPr>
      </w:pPr>
      <w:r>
        <w:rPr>
          <w:rFonts w:hint="eastAsia" w:eastAsia="仿宋_GB2312"/>
          <w:color w:val="000000" w:themeColor="text1"/>
          <w:spacing w:val="-2"/>
          <w:sz w:val="32"/>
          <w:szCs w:val="32"/>
          <w14:textFill>
            <w14:solidFill>
              <w14:schemeClr w14:val="tx1"/>
            </w14:solidFill>
          </w14:textFill>
        </w:rPr>
        <w:t>（一）项目在设计、建设和运行中，应坚持循环经济、清洁生产、绿色有序发展理念，进一步优化工艺路线和设计方案，强化各装置节能降耗措施，进一步减少污染物的产生量和排放量；</w:t>
      </w:r>
      <w:r>
        <w:rPr>
          <w:rFonts w:hint="eastAsia" w:ascii="仿宋_GB2312" w:hAnsi="仿宋_GB2312" w:eastAsia="仿宋_GB2312" w:cs="仿宋_GB2312"/>
          <w:b w:val="0"/>
          <w:bCs w:val="0"/>
          <w:color w:val="auto"/>
          <w:sz w:val="32"/>
          <w:szCs w:val="32"/>
          <w:highlight w:val="none"/>
          <w:lang w:val="en-US" w:eastAsia="zh-CN"/>
        </w:rPr>
        <w:t>安装用电量监控设施；</w:t>
      </w:r>
      <w:r>
        <w:rPr>
          <w:rFonts w:hint="eastAsia" w:ascii="仿宋_GB2312" w:hAnsi="仿宋_GB2312" w:eastAsia="仿宋_GB2312" w:cs="仿宋_GB2312"/>
          <w:color w:val="000000" w:themeColor="text1"/>
          <w:sz w:val="32"/>
          <w:szCs w:val="32"/>
          <w14:textFill>
            <w14:solidFill>
              <w14:schemeClr w14:val="tx1"/>
            </w14:solidFill>
          </w14:textFill>
        </w:rPr>
        <w:t>落实生态环境分区管控要求</w:t>
      </w:r>
      <w:r>
        <w:rPr>
          <w:rFonts w:hint="eastAsia" w:eastAsia="仿宋_GB2312"/>
          <w:color w:val="000000" w:themeColor="text1"/>
          <w:spacing w:val="-2"/>
          <w:sz w:val="32"/>
          <w:szCs w:val="32"/>
          <w14:textFill>
            <w14:solidFill>
              <w14:schemeClr w14:val="tx1"/>
            </w14:solidFill>
          </w14:textFill>
        </w:rPr>
        <w:t>；做好厂区绿化工作。</w:t>
      </w:r>
    </w:p>
    <w:p w14:paraId="68A9EDFD">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textAlignment w:val="auto"/>
        <w:rPr>
          <w:rFonts w:hint="eastAsia" w:eastAsia="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sz w:val="32"/>
          <w:szCs w:val="32"/>
        </w:rPr>
        <w:t>（二）注重施工期的环境管理。施工期大气污染防治措施应满足《安徽省大气污染防治条例》及《安徽省建筑工程施工扬尘污染防治规定》等要求；施工期颗粒物执行《施工场地颗粒物排放标准》（DB34/4811-2024）中要求；施工期环境噪声应满足《建筑施工噪声排放标准》（GB12523-2025)规定的要求；建筑垃圾应分类处理，尽可能回收利用；落实生活垃圾分类收集制度。</w:t>
      </w:r>
    </w:p>
    <w:p w14:paraId="19D1EB04">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三</w:t>
      </w:r>
      <w:r>
        <w:rPr>
          <w:rFonts w:hint="eastAsia" w:ascii="仿宋_GB2312" w:hAnsi="仿宋_GB2312" w:eastAsia="仿宋_GB2312" w:cs="仿宋_GB2312"/>
          <w:color w:val="000000" w:themeColor="text1"/>
          <w:sz w:val="32"/>
          <w:szCs w:val="32"/>
          <w14:textFill>
            <w14:solidFill>
              <w14:schemeClr w14:val="tx1"/>
            </w14:solidFill>
          </w14:textFill>
        </w:rPr>
        <w:t>）加强项目日常环境管理和环境风险防范。公司应建立健全包括环境风险预防在内的各项生态环境保护规章制度，设置环保管理机构，落实专职环保技术人员并加强能力培训；强化污染防治设施日常运行管理，规范设置排污口；污染防治设施运行记录应真实、有效、及时；按照规范制定企业自行监测方案，配备必要的环境监测仪器设备或委托有资质单位开展自行监测；定期发布企业环境信息并主动接受社会监督；加强各类原辅材料运输、贮存、使用过程中的管理。</w:t>
      </w:r>
      <w:r>
        <w:rPr>
          <w:rFonts w:hint="eastAsia" w:ascii="仿宋_GB2312" w:hAnsi="仿宋" w:eastAsia="仿宋_GB2312" w:cs="仿宋"/>
          <w:bCs/>
          <w:color w:val="auto"/>
          <w:spacing w:val="-2"/>
          <w:sz w:val="32"/>
          <w:szCs w:val="32"/>
          <w:highlight w:val="none"/>
        </w:rPr>
        <w:t>设置事故废水切换截断装置，并与事故应急池（</w:t>
      </w:r>
      <w:r>
        <w:rPr>
          <w:rFonts w:hint="eastAsia" w:ascii="仿宋_GB2312" w:hAnsi="仿宋" w:eastAsia="仿宋_GB2312" w:cs="仿宋"/>
          <w:bCs/>
          <w:color w:val="auto"/>
          <w:spacing w:val="-2"/>
          <w:sz w:val="32"/>
          <w:szCs w:val="32"/>
          <w:highlight w:val="none"/>
          <w:lang w:val="en-US" w:eastAsia="zh-CN"/>
        </w:rPr>
        <w:t>新建</w:t>
      </w:r>
      <w:r>
        <w:rPr>
          <w:rFonts w:hint="eastAsia" w:ascii="仿宋_GB2312" w:hAnsi="仿宋" w:eastAsia="仿宋_GB2312" w:cs="仿宋"/>
          <w:bCs/>
          <w:color w:val="auto"/>
          <w:spacing w:val="-2"/>
          <w:sz w:val="32"/>
          <w:szCs w:val="32"/>
          <w:highlight w:val="none"/>
        </w:rPr>
        <w:t>，有效容积不低于</w:t>
      </w:r>
      <w:r>
        <w:rPr>
          <w:rFonts w:hint="eastAsia" w:ascii="仿宋_GB2312" w:hAnsi="仿宋" w:eastAsia="仿宋_GB2312" w:cs="仿宋"/>
          <w:bCs/>
          <w:color w:val="auto"/>
          <w:spacing w:val="-2"/>
          <w:sz w:val="32"/>
          <w:szCs w:val="32"/>
          <w:highlight w:val="none"/>
          <w:lang w:val="en-US" w:eastAsia="zh-CN"/>
        </w:rPr>
        <w:t>280</w:t>
      </w:r>
      <w:r>
        <w:rPr>
          <w:rFonts w:hint="eastAsia" w:ascii="仿宋_GB2312" w:hAnsi="仿宋" w:eastAsia="仿宋_GB2312" w:cs="仿宋"/>
          <w:bCs/>
          <w:color w:val="auto"/>
          <w:spacing w:val="-2"/>
          <w:sz w:val="32"/>
          <w:szCs w:val="32"/>
          <w:highlight w:val="none"/>
        </w:rPr>
        <w:t>m</w:t>
      </w:r>
      <w:r>
        <w:rPr>
          <w:rFonts w:hint="eastAsia" w:ascii="仿宋_GB2312" w:hAnsi="仿宋" w:eastAsia="仿宋_GB2312" w:cs="仿宋"/>
          <w:bCs/>
          <w:color w:val="auto"/>
          <w:spacing w:val="-2"/>
          <w:sz w:val="32"/>
          <w:szCs w:val="32"/>
          <w:highlight w:val="none"/>
          <w:vertAlign w:val="superscript"/>
        </w:rPr>
        <w:t>3</w:t>
      </w:r>
      <w:r>
        <w:rPr>
          <w:rFonts w:hint="eastAsia" w:ascii="仿宋_GB2312" w:hAnsi="仿宋" w:eastAsia="仿宋_GB2312" w:cs="仿宋"/>
          <w:bCs/>
          <w:color w:val="auto"/>
          <w:spacing w:val="-2"/>
          <w:sz w:val="32"/>
          <w:szCs w:val="32"/>
          <w:highlight w:val="none"/>
        </w:rPr>
        <w:t>）联接，确保发生事故时，事故废水不进入地表和水体</w:t>
      </w:r>
      <w:r>
        <w:rPr>
          <w:rFonts w:hint="eastAsia" w:ascii="仿宋_GB2312" w:hAnsi="仿宋_GB2312" w:eastAsia="仿宋_GB2312" w:cs="仿宋_GB2312"/>
          <w:color w:val="auto"/>
          <w:sz w:val="32"/>
          <w:szCs w:val="32"/>
          <w:highlight w:val="none"/>
        </w:rPr>
        <w:t>。</w:t>
      </w:r>
    </w:p>
    <w:p w14:paraId="0C78548A">
      <w:pPr>
        <w:pStyle w:val="34"/>
        <w:adjustRightInd/>
        <w:snapToGrid/>
        <w:spacing w:line="560" w:lineRule="exact"/>
        <w:ind w:firstLine="632" w:firstLineChars="200"/>
        <w:rPr>
          <w:rFonts w:ascii="Times New Roman" w:hAnsi="Times New Roman" w:eastAsia="仿宋_GB2312"/>
          <w:color w:val="000000" w:themeColor="text1"/>
          <w:spacing w:val="-2"/>
          <w:kern w:val="2"/>
          <w:sz w:val="32"/>
          <w:szCs w:val="32"/>
          <w14:textFill>
            <w14:solidFill>
              <w14:schemeClr w14:val="tx1"/>
            </w14:solidFill>
          </w14:textFill>
        </w:rPr>
      </w:pPr>
      <w:r>
        <w:rPr>
          <w:rFonts w:hint="eastAsia" w:ascii="Times New Roman" w:hAnsi="Times New Roman" w:eastAsia="仿宋_GB2312"/>
          <w:color w:val="000000" w:themeColor="text1"/>
          <w:spacing w:val="-2"/>
          <w:sz w:val="32"/>
          <w:szCs w:val="32"/>
          <w14:textFill>
            <w14:solidFill>
              <w14:schemeClr w14:val="tx1"/>
            </w14:solidFill>
          </w14:textFill>
        </w:rPr>
        <w:t>（</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四</w:t>
      </w:r>
      <w:r>
        <w:rPr>
          <w:rFonts w:hint="eastAsia" w:ascii="Times New Roman" w:hAnsi="Times New Roman" w:eastAsia="仿宋_GB2312"/>
          <w:color w:val="000000" w:themeColor="text1"/>
          <w:spacing w:val="-2"/>
          <w:sz w:val="32"/>
          <w:szCs w:val="32"/>
          <w14:textFill>
            <w14:solidFill>
              <w14:schemeClr w14:val="tx1"/>
            </w14:solidFill>
          </w14:textFill>
        </w:rPr>
        <w:t>）</w:t>
      </w:r>
      <w:r>
        <w:rPr>
          <w:rFonts w:hint="eastAsia" w:ascii="Times New Roman" w:hAnsi="Times New Roman" w:eastAsia="仿宋_GB2312"/>
          <w:color w:val="000000" w:themeColor="text1"/>
          <w:spacing w:val="-2"/>
          <w:kern w:val="2"/>
          <w:sz w:val="32"/>
          <w:szCs w:val="32"/>
          <w14:textFill>
            <w14:solidFill>
              <w14:schemeClr w14:val="tx1"/>
            </w14:solidFill>
          </w14:textFill>
        </w:rPr>
        <w:t>加强地下水和土壤环境污染防控。按分区防渗原则，加强地下水污染防控。严格落实厂区建构筑物防渗措施，特别是可能因渗漏对地下水水质产生影响场所的防渗措施，避免对地下水水质产生影响。</w:t>
      </w:r>
    </w:p>
    <w:p w14:paraId="5B8A2448">
      <w:pPr>
        <w:spacing w:line="600" w:lineRule="exact"/>
        <w:ind w:firstLine="632"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w:t>
      </w:r>
      <w:r>
        <w:rPr>
          <w:rFonts w:hint="eastAsia" w:eastAsia="仿宋_GB2312"/>
          <w:color w:val="000000" w:themeColor="text1"/>
          <w:spacing w:val="-2"/>
          <w:sz w:val="32"/>
          <w:szCs w:val="32"/>
          <w:lang w:eastAsia="zh-CN"/>
          <w14:textFill>
            <w14:solidFill>
              <w14:schemeClr w14:val="tx1"/>
            </w14:solidFill>
          </w14:textFill>
        </w:rPr>
        <w:t>五</w:t>
      </w:r>
      <w:r>
        <w:rPr>
          <w:rFonts w:hint="eastAsia" w:ascii="仿宋_GB2312" w:hAnsi="仿宋_GB2312" w:eastAsia="仿宋_GB2312" w:cs="仿宋_GB2312"/>
          <w:color w:val="000000" w:themeColor="text1"/>
          <w:spacing w:val="-2"/>
          <w:sz w:val="32"/>
          <w:szCs w:val="32"/>
          <w14:textFill>
            <w14:solidFill>
              <w14:schemeClr w14:val="tx1"/>
            </w14:solidFill>
          </w14:textFill>
        </w:rPr>
        <w:t>）严格落实污染物排放总量控制制度。项目在落实《报告表》提出的污染防治措施后</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2"/>
          <w:sz w:val="32"/>
          <w:szCs w:val="32"/>
          <w14:textFill>
            <w14:solidFill>
              <w14:schemeClr w14:val="tx1"/>
            </w14:solidFill>
          </w14:textFill>
        </w:rPr>
        <w:t>废水污染物中COD和NH</w:t>
      </w:r>
      <w:r>
        <w:rPr>
          <w:rFonts w:hint="eastAsia" w:ascii="仿宋_GB2312" w:hAnsi="仿宋_GB2312" w:eastAsia="仿宋_GB2312" w:cs="仿宋_GB2312"/>
          <w:color w:val="000000" w:themeColor="text1"/>
          <w:spacing w:val="-2"/>
          <w:sz w:val="32"/>
          <w:szCs w:val="32"/>
          <w:vertAlign w:val="subscript"/>
          <w14:textFill>
            <w14:solidFill>
              <w14:schemeClr w14:val="tx1"/>
            </w14:solidFill>
          </w14:textFill>
        </w:rPr>
        <w:t>3</w:t>
      </w:r>
      <w:r>
        <w:rPr>
          <w:rFonts w:hint="eastAsia" w:ascii="仿宋_GB2312" w:hAnsi="仿宋_GB2312" w:eastAsia="仿宋_GB2312" w:cs="仿宋_GB2312"/>
          <w:color w:val="000000" w:themeColor="text1"/>
          <w:spacing w:val="-2"/>
          <w:sz w:val="32"/>
          <w:szCs w:val="32"/>
          <w14:textFill>
            <w14:solidFill>
              <w14:schemeClr w14:val="tx1"/>
            </w14:solidFill>
          </w14:textFill>
        </w:rPr>
        <w:t>-N排放总量纳入城东污水处理厂总量统一管理。</w:t>
      </w:r>
    </w:p>
    <w:p w14:paraId="64675190">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六</w:t>
      </w:r>
      <w:r>
        <w:rPr>
          <w:rFonts w:hint="eastAsia" w:ascii="仿宋_GB2312" w:hAnsi="仿宋_GB2312" w:eastAsia="仿宋_GB2312" w:cs="仿宋_GB2312"/>
          <w:color w:val="000000"/>
          <w:sz w:val="32"/>
          <w:szCs w:val="32"/>
        </w:rPr>
        <w:t>）加强重点环保设备设施安全生产管理。</w:t>
      </w:r>
      <w:r>
        <w:rPr>
          <w:rFonts w:hint="eastAsia" w:ascii="仿宋_GB2312" w:hAnsi="仿宋_GB2312" w:eastAsia="仿宋_GB2312" w:cs="仿宋_GB2312"/>
          <w:color w:val="000000"/>
          <w:sz w:val="32"/>
          <w:szCs w:val="32"/>
          <w:lang w:val="en-US" w:eastAsia="zh-CN"/>
        </w:rPr>
        <w:t>废气</w:t>
      </w:r>
      <w:r>
        <w:rPr>
          <w:rFonts w:hint="eastAsia" w:ascii="仿宋_GB2312" w:hAnsi="仿宋_GB2312" w:eastAsia="仿宋_GB2312" w:cs="仿宋_GB2312"/>
          <w:color w:val="000000"/>
          <w:sz w:val="32"/>
          <w:szCs w:val="32"/>
        </w:rPr>
        <w:t>治理</w:t>
      </w:r>
      <w:r>
        <w:rPr>
          <w:rFonts w:hint="eastAsia" w:ascii="仿宋_GB2312" w:hAnsi="仿宋_GB2312" w:eastAsia="仿宋_GB2312" w:cs="仿宋_GB2312"/>
          <w:sz w:val="32"/>
          <w:szCs w:val="32"/>
        </w:rPr>
        <w:t>、污水治理等</w:t>
      </w:r>
      <w:r>
        <w:rPr>
          <w:rFonts w:hint="eastAsia" w:ascii="仿宋_GB2312" w:hAnsi="仿宋_GB2312" w:eastAsia="仿宋_GB2312" w:cs="仿宋_GB2312"/>
          <w:color w:val="000000"/>
          <w:sz w:val="32"/>
          <w:szCs w:val="32"/>
        </w:rPr>
        <w:t>环保设备设施启动、停运、检修或改（扩）建时，严格落实安全生产相关要求。</w:t>
      </w:r>
    </w:p>
    <w:p w14:paraId="17412058">
      <w:pPr>
        <w:spacing w:line="560" w:lineRule="exact"/>
        <w:ind w:firstLine="632" w:firstLineChars="200"/>
        <w:rPr>
          <w:rFonts w:eastAsia="仿宋_GB2312"/>
          <w:color w:val="000000" w:themeColor="text1"/>
          <w:spacing w:val="-2"/>
          <w:sz w:val="32"/>
          <w:szCs w:val="32"/>
          <w14:textFill>
            <w14:solidFill>
              <w14:schemeClr w14:val="tx1"/>
            </w14:solidFill>
          </w14:textFill>
        </w:rPr>
      </w:pPr>
      <w:r>
        <w:rPr>
          <w:rFonts w:hint="eastAsia" w:eastAsia="仿宋_GB2312"/>
          <w:color w:val="000000" w:themeColor="text1"/>
          <w:spacing w:val="-2"/>
          <w:sz w:val="32"/>
          <w:szCs w:val="32"/>
          <w14:textFill>
            <w14:solidFill>
              <w14:schemeClr w14:val="tx1"/>
            </w14:solidFill>
          </w14:textFill>
        </w:rPr>
        <w:t>（</w:t>
      </w:r>
      <w:r>
        <w:rPr>
          <w:rFonts w:hint="eastAsia" w:eastAsia="仿宋_GB2312"/>
          <w:color w:val="000000" w:themeColor="text1"/>
          <w:spacing w:val="-2"/>
          <w:sz w:val="32"/>
          <w:szCs w:val="32"/>
          <w:lang w:eastAsia="zh-CN"/>
          <w14:textFill>
            <w14:solidFill>
              <w14:schemeClr w14:val="tx1"/>
            </w14:solidFill>
          </w14:textFill>
        </w:rPr>
        <w:t>七</w:t>
      </w:r>
      <w:r>
        <w:rPr>
          <w:rFonts w:hint="eastAsia" w:eastAsia="仿宋_GB2312"/>
          <w:color w:val="000000" w:themeColor="text1"/>
          <w:spacing w:val="-2"/>
          <w:sz w:val="32"/>
          <w:szCs w:val="32"/>
          <w14:textFill>
            <w14:solidFill>
              <w14:schemeClr w14:val="tx1"/>
            </w14:solidFill>
          </w14:textFill>
        </w:rPr>
        <w:t>）若项目的性质、地点、规模、生产工艺或污染防治措施等发生重大变动的，应当重新报批项目环评文件。项目环评文件自批复之日起</w:t>
      </w:r>
      <w:r>
        <w:rPr>
          <w:rFonts w:hint="eastAsia" w:ascii="Times New Roman" w:hAnsi="Times New Roman" w:eastAsia="仿宋_GB2312"/>
          <w:color w:val="000000" w:themeColor="text1"/>
          <w:spacing w:val="-2"/>
          <w:kern w:val="2"/>
          <w:sz w:val="32"/>
          <w:szCs w:val="32"/>
          <w14:textFill>
            <w14:solidFill>
              <w14:schemeClr w14:val="tx1"/>
            </w14:solidFill>
          </w14:textFill>
        </w:rPr>
        <w:t>，</w:t>
      </w:r>
      <w:r>
        <w:rPr>
          <w:rFonts w:hint="eastAsia" w:eastAsia="仿宋_GB2312"/>
          <w:color w:val="000000" w:themeColor="text1"/>
          <w:spacing w:val="-2"/>
          <w:sz w:val="32"/>
          <w:szCs w:val="32"/>
          <w14:textFill>
            <w14:solidFill>
              <w14:schemeClr w14:val="tx1"/>
            </w14:solidFill>
          </w14:textFill>
        </w:rPr>
        <w:t>如超过</w:t>
      </w:r>
      <w:r>
        <w:rPr>
          <w:rFonts w:eastAsia="仿宋_GB2312"/>
          <w:color w:val="000000" w:themeColor="text1"/>
          <w:spacing w:val="-2"/>
          <w:sz w:val="32"/>
          <w:szCs w:val="32"/>
          <w14:textFill>
            <w14:solidFill>
              <w14:schemeClr w14:val="tx1"/>
            </w14:solidFill>
          </w14:textFill>
        </w:rPr>
        <w:t>5</w:t>
      </w:r>
      <w:r>
        <w:rPr>
          <w:rFonts w:hint="eastAsia" w:eastAsia="仿宋_GB2312"/>
          <w:color w:val="000000" w:themeColor="text1"/>
          <w:spacing w:val="-2"/>
          <w:sz w:val="32"/>
          <w:szCs w:val="32"/>
          <w14:textFill>
            <w14:solidFill>
              <w14:schemeClr w14:val="tx1"/>
            </w14:solidFill>
          </w14:textFill>
        </w:rPr>
        <w:t>年方决定开工建设的，环评文件应当重新审核。</w:t>
      </w:r>
    </w:p>
    <w:p w14:paraId="38829820">
      <w:pPr>
        <w:spacing w:line="560" w:lineRule="exact"/>
        <w:ind w:firstLine="632" w:firstLineChars="200"/>
        <w:rPr>
          <w:rFonts w:eastAsia="仿宋_GB2312"/>
          <w:color w:val="000000" w:themeColor="text1"/>
          <w:spacing w:val="-2"/>
          <w:sz w:val="32"/>
          <w:szCs w:val="32"/>
          <w14:textFill>
            <w14:solidFill>
              <w14:schemeClr w14:val="tx1"/>
            </w14:solidFill>
          </w14:textFill>
        </w:rPr>
      </w:pPr>
      <w:r>
        <w:rPr>
          <w:rFonts w:hint="eastAsia" w:eastAsia="仿宋_GB2312"/>
          <w:color w:val="000000" w:themeColor="text1"/>
          <w:spacing w:val="-2"/>
          <w:sz w:val="32"/>
          <w:szCs w:val="32"/>
          <w14:textFill>
            <w14:solidFill>
              <w14:schemeClr w14:val="tx1"/>
            </w14:solidFill>
          </w14:textFill>
        </w:rPr>
        <w:t>（</w:t>
      </w:r>
      <w:r>
        <w:rPr>
          <w:rFonts w:hint="eastAsia" w:eastAsia="仿宋_GB2312"/>
          <w:color w:val="000000" w:themeColor="text1"/>
          <w:spacing w:val="-2"/>
          <w:sz w:val="32"/>
          <w:szCs w:val="32"/>
          <w:lang w:val="en-US" w:eastAsia="zh-CN"/>
          <w14:textFill>
            <w14:solidFill>
              <w14:schemeClr w14:val="tx1"/>
            </w14:solidFill>
          </w14:textFill>
        </w:rPr>
        <w:t>八</w:t>
      </w:r>
      <w:r>
        <w:rPr>
          <w:rFonts w:hint="eastAsia" w:eastAsia="仿宋_GB2312"/>
          <w:color w:val="000000" w:themeColor="text1"/>
          <w:spacing w:val="-2"/>
          <w:sz w:val="32"/>
          <w:szCs w:val="32"/>
          <w14:textFill>
            <w14:solidFill>
              <w14:schemeClr w14:val="tx1"/>
            </w14:solidFill>
          </w14:textFill>
        </w:rPr>
        <w:t>）按照《排污许可管理</w:t>
      </w:r>
      <w:r>
        <w:rPr>
          <w:rFonts w:hint="eastAsia" w:eastAsia="仿宋_GB2312"/>
          <w:color w:val="000000" w:themeColor="text1"/>
          <w:spacing w:val="-2"/>
          <w:sz w:val="32"/>
          <w:szCs w:val="32"/>
          <w:lang w:val="en-US" w:eastAsia="zh-CN"/>
          <w14:textFill>
            <w14:solidFill>
              <w14:schemeClr w14:val="tx1"/>
            </w14:solidFill>
          </w14:textFill>
        </w:rPr>
        <w:t>办法</w:t>
      </w:r>
      <w:r>
        <w:rPr>
          <w:rFonts w:hint="eastAsia" w:eastAsia="仿宋_GB2312"/>
          <w:color w:val="000000" w:themeColor="text1"/>
          <w:spacing w:val="-2"/>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《排污许可管理条例》</w:t>
      </w:r>
      <w:r>
        <w:rPr>
          <w:rFonts w:hint="eastAsia" w:eastAsia="仿宋_GB2312"/>
          <w:color w:val="000000" w:themeColor="text1"/>
          <w:spacing w:val="-2"/>
          <w:sz w:val="32"/>
          <w:szCs w:val="32"/>
          <w14:textFill>
            <w14:solidFill>
              <w14:schemeClr w14:val="tx1"/>
            </w14:solidFill>
          </w14:textFill>
        </w:rPr>
        <w:t>和《固定污染源排污许可分类管理名录》规定的相关要求申请办理《排污许可证》，将《报告表》中各项环境保护措施、污染物排放清单及其他有关内容载入排污许可证；项目未取得《排污许可证》前不得投入试生产或试运行。</w:t>
      </w:r>
    </w:p>
    <w:p w14:paraId="0512DA65">
      <w:pPr>
        <w:spacing w:line="560" w:lineRule="exact"/>
        <w:ind w:firstLine="632" w:firstLineChars="200"/>
        <w:rPr>
          <w:rFonts w:eastAsia="仿宋_GB2312"/>
          <w:color w:val="000000" w:themeColor="text1"/>
          <w:spacing w:val="-2"/>
          <w:sz w:val="32"/>
          <w:szCs w:val="32"/>
          <w14:textFill>
            <w14:solidFill>
              <w14:schemeClr w14:val="tx1"/>
            </w14:solidFill>
          </w14:textFill>
        </w:rPr>
      </w:pPr>
      <w:r>
        <w:rPr>
          <w:rFonts w:hint="eastAsia" w:eastAsia="仿宋_GB2312"/>
          <w:color w:val="000000" w:themeColor="text1"/>
          <w:spacing w:val="-2"/>
          <w:sz w:val="32"/>
          <w:szCs w:val="32"/>
          <w14:textFill>
            <w14:solidFill>
              <w14:schemeClr w14:val="tx1"/>
            </w14:solidFill>
          </w14:textFill>
        </w:rPr>
        <w:t>（</w:t>
      </w:r>
      <w:r>
        <w:rPr>
          <w:rFonts w:hint="eastAsia" w:eastAsia="仿宋_GB2312"/>
          <w:color w:val="000000" w:themeColor="text1"/>
          <w:spacing w:val="-2"/>
          <w:sz w:val="32"/>
          <w:szCs w:val="32"/>
          <w:lang w:val="en-US" w:eastAsia="zh-CN"/>
          <w14:textFill>
            <w14:solidFill>
              <w14:schemeClr w14:val="tx1"/>
            </w14:solidFill>
          </w14:textFill>
        </w:rPr>
        <w:t>九</w:t>
      </w:r>
      <w:r>
        <w:rPr>
          <w:rFonts w:hint="eastAsia" w:eastAsia="仿宋_GB2312"/>
          <w:color w:val="000000" w:themeColor="text1"/>
          <w:spacing w:val="-2"/>
          <w:sz w:val="32"/>
          <w:szCs w:val="32"/>
          <w14:textFill>
            <w14:solidFill>
              <w14:schemeClr w14:val="tx1"/>
            </w14:solidFill>
          </w14:textFill>
        </w:rPr>
        <w:t>）项目建设应严格执行环境保护设施与主体工程同时设计、同时施工、同时投产使用的环境保护</w:t>
      </w:r>
      <w:r>
        <w:rPr>
          <w:rFonts w:eastAsia="仿宋_GB2312"/>
          <w:color w:val="000000" w:themeColor="text1"/>
          <w:spacing w:val="-2"/>
          <w:sz w:val="32"/>
          <w:szCs w:val="32"/>
          <w14:textFill>
            <w14:solidFill>
              <w14:schemeClr w14:val="tx1"/>
            </w14:solidFill>
          </w14:textFill>
        </w:rPr>
        <w:t>“</w:t>
      </w:r>
      <w:r>
        <w:rPr>
          <w:rFonts w:hint="eastAsia" w:eastAsia="仿宋_GB2312"/>
          <w:color w:val="000000" w:themeColor="text1"/>
          <w:spacing w:val="-2"/>
          <w:sz w:val="32"/>
          <w:szCs w:val="32"/>
          <w14:textFill>
            <w14:solidFill>
              <w14:schemeClr w14:val="tx1"/>
            </w14:solidFill>
          </w14:textFill>
        </w:rPr>
        <w:t>三同时</w:t>
      </w:r>
      <w:r>
        <w:rPr>
          <w:rFonts w:eastAsia="仿宋_GB2312"/>
          <w:color w:val="000000" w:themeColor="text1"/>
          <w:spacing w:val="-2"/>
          <w:sz w:val="32"/>
          <w:szCs w:val="32"/>
          <w14:textFill>
            <w14:solidFill>
              <w14:schemeClr w14:val="tx1"/>
            </w14:solidFill>
          </w14:textFill>
        </w:rPr>
        <w:t>”</w:t>
      </w:r>
      <w:r>
        <w:rPr>
          <w:rFonts w:hint="eastAsia" w:eastAsia="仿宋_GB2312"/>
          <w:color w:val="000000" w:themeColor="text1"/>
          <w:spacing w:val="-2"/>
          <w:sz w:val="32"/>
          <w:szCs w:val="32"/>
          <w14:textFill>
            <w14:solidFill>
              <w14:schemeClr w14:val="tx1"/>
            </w14:solidFill>
          </w14:textFill>
        </w:rPr>
        <w:t>制度；项目建成投入试生产或试运行前应及时告知我局；正式投入生产（运行）前应按照规定开展环境保护设施验收，验收合格后，项目方可正式投入生产（运行）。</w:t>
      </w:r>
    </w:p>
    <w:p w14:paraId="6F71C976">
      <w:pPr>
        <w:pStyle w:val="10"/>
        <w:rPr>
          <w:color w:val="FF0000"/>
        </w:rPr>
      </w:pPr>
    </w:p>
    <w:p w14:paraId="04757E38">
      <w:pPr>
        <w:pStyle w:val="12"/>
      </w:pPr>
    </w:p>
    <w:p w14:paraId="7AF46979">
      <w:pPr>
        <w:spacing w:line="620" w:lineRule="exact"/>
        <w:jc w:val="right"/>
        <w:rPr>
          <w:rFonts w:ascii="仿宋_GB2312" w:hAnsi="仿宋_GB2312" w:eastAsia="仿宋_GB2312" w:cs="仿宋_GB2312"/>
          <w:color w:val="auto"/>
          <w:spacing w:val="-2"/>
          <w:sz w:val="32"/>
          <w:szCs w:val="32"/>
        </w:rPr>
      </w:pPr>
      <w:r>
        <w:rPr>
          <w:rFonts w:hint="eastAsia" w:ascii="仿宋_GB2312" w:hAnsi="仿宋_GB2312" w:eastAsia="仿宋_GB2312" w:cs="仿宋_GB2312"/>
          <w:color w:val="auto"/>
          <w:spacing w:val="-2"/>
          <w:sz w:val="32"/>
          <w:szCs w:val="32"/>
        </w:rPr>
        <w:t>池州经济技术开发区生态环境局</w:t>
      </w:r>
    </w:p>
    <w:p w14:paraId="68832E80">
      <w:pPr>
        <w:spacing w:line="620" w:lineRule="exact"/>
        <w:ind w:firstLine="5372" w:firstLineChars="1700"/>
        <w:rPr>
          <w:rFonts w:ascii="仿宋_GB2312" w:hAnsi="仿宋_GB2312" w:eastAsia="仿宋_GB2312" w:cs="仿宋_GB2312"/>
          <w:color w:val="auto"/>
          <w:spacing w:val="-2"/>
          <w:sz w:val="32"/>
          <w:szCs w:val="32"/>
        </w:rPr>
      </w:pPr>
      <w:r>
        <w:rPr>
          <w:rFonts w:hint="eastAsia" w:ascii="仿宋_GB2312" w:hAnsi="仿宋_GB2312" w:eastAsia="仿宋_GB2312" w:cs="仿宋_GB2312"/>
          <w:color w:val="auto"/>
          <w:spacing w:val="-2"/>
          <w:sz w:val="32"/>
          <w:szCs w:val="32"/>
        </w:rPr>
        <w:t>202</w:t>
      </w:r>
      <w:r>
        <w:rPr>
          <w:rFonts w:hint="eastAsia" w:ascii="仿宋_GB2312" w:hAnsi="仿宋_GB2312" w:eastAsia="仿宋_GB2312" w:cs="仿宋_GB2312"/>
          <w:color w:val="auto"/>
          <w:spacing w:val="-2"/>
          <w:sz w:val="32"/>
          <w:szCs w:val="32"/>
          <w:lang w:val="en-US" w:eastAsia="zh-CN"/>
        </w:rPr>
        <w:t>6</w:t>
      </w:r>
      <w:r>
        <w:rPr>
          <w:rFonts w:hint="eastAsia" w:ascii="仿宋_GB2312" w:hAnsi="仿宋_GB2312" w:eastAsia="仿宋_GB2312" w:cs="仿宋_GB2312"/>
          <w:color w:val="auto"/>
          <w:spacing w:val="-2"/>
          <w:sz w:val="32"/>
          <w:szCs w:val="32"/>
        </w:rPr>
        <w:t>年</w:t>
      </w:r>
      <w:r>
        <w:rPr>
          <w:rFonts w:hint="eastAsia" w:ascii="仿宋_GB2312" w:hAnsi="仿宋_GB2312" w:eastAsia="仿宋_GB2312" w:cs="仿宋_GB2312"/>
          <w:color w:val="auto"/>
          <w:spacing w:val="-2"/>
          <w:sz w:val="32"/>
          <w:szCs w:val="32"/>
          <w:lang w:val="en-US" w:eastAsia="zh-CN"/>
        </w:rPr>
        <w:t>4</w:t>
      </w:r>
      <w:r>
        <w:rPr>
          <w:rFonts w:hint="eastAsia" w:ascii="仿宋_GB2312" w:hAnsi="仿宋_GB2312" w:eastAsia="仿宋_GB2312" w:cs="仿宋_GB2312"/>
          <w:color w:val="auto"/>
          <w:spacing w:val="-2"/>
          <w:sz w:val="32"/>
          <w:szCs w:val="32"/>
        </w:rPr>
        <w:t>月</w:t>
      </w:r>
      <w:r>
        <w:rPr>
          <w:rFonts w:hint="eastAsia" w:ascii="仿宋_GB2312" w:hAnsi="仿宋_GB2312" w:eastAsia="仿宋_GB2312" w:cs="仿宋_GB2312"/>
          <w:color w:val="auto"/>
          <w:spacing w:val="-2"/>
          <w:sz w:val="32"/>
          <w:szCs w:val="32"/>
          <w:lang w:val="en-US" w:eastAsia="zh-CN"/>
        </w:rPr>
        <w:t>30</w:t>
      </w:r>
      <w:bookmarkStart w:id="1" w:name="_GoBack"/>
      <w:bookmarkEnd w:id="1"/>
      <w:r>
        <w:rPr>
          <w:rFonts w:hint="eastAsia" w:ascii="仿宋_GB2312" w:hAnsi="仿宋_GB2312" w:eastAsia="仿宋_GB2312" w:cs="仿宋_GB2312"/>
          <w:color w:val="auto"/>
          <w:spacing w:val="-2"/>
          <w:sz w:val="32"/>
          <w:szCs w:val="32"/>
        </w:rPr>
        <w:t>日</w:t>
      </w:r>
    </w:p>
    <w:p w14:paraId="0B9BC8C2">
      <w:pPr>
        <w:pStyle w:val="35"/>
        <w:rPr>
          <w:rFonts w:ascii="Times New Roman" w:cs="Times New Roman"/>
          <w:color w:val="FF0000"/>
        </w:rPr>
      </w:pPr>
    </w:p>
    <w:p w14:paraId="72716F4C">
      <w:pPr>
        <w:pStyle w:val="35"/>
        <w:rPr>
          <w:rFonts w:ascii="Times New Roman" w:cs="Times New Roman"/>
          <w:color w:val="FF0000"/>
        </w:rPr>
      </w:pPr>
    </w:p>
    <w:p w14:paraId="7CDA763A">
      <w:pPr>
        <w:pStyle w:val="35"/>
        <w:rPr>
          <w:rFonts w:ascii="Times New Roman" w:cs="Times New Roman" w:eastAsiaTheme="minorEastAsia"/>
          <w:color w:val="FF0000"/>
        </w:rPr>
      </w:pPr>
    </w:p>
    <w:p w14:paraId="0049D14D">
      <w:pPr>
        <w:pStyle w:val="35"/>
        <w:rPr>
          <w:rFonts w:ascii="Times New Roman" w:cs="Times New Roman" w:eastAsiaTheme="minorEastAsia"/>
          <w:color w:val="FF0000"/>
        </w:rPr>
      </w:pPr>
    </w:p>
    <w:p w14:paraId="331CDC62">
      <w:pPr>
        <w:pStyle w:val="35"/>
        <w:rPr>
          <w:rFonts w:ascii="Times New Roman" w:cs="Times New Roman" w:eastAsiaTheme="minorEastAsia"/>
          <w:color w:val="FF0000"/>
        </w:rPr>
      </w:pPr>
    </w:p>
    <w:p w14:paraId="1F247ABE">
      <w:pPr>
        <w:pStyle w:val="35"/>
        <w:rPr>
          <w:rFonts w:ascii="Times New Roman" w:cs="Times New Roman" w:eastAsiaTheme="minorEastAsia"/>
          <w:color w:val="FF0000"/>
        </w:rPr>
      </w:pPr>
    </w:p>
    <w:p w14:paraId="4751D07D">
      <w:pPr>
        <w:rPr>
          <w:color w:val="FF0000"/>
        </w:rPr>
      </w:pPr>
    </w:p>
    <w:sectPr>
      <w:headerReference r:id="rId3" w:type="default"/>
      <w:footerReference r:id="rId4" w:type="default"/>
      <w:footerReference r:id="rId5" w:type="even"/>
      <w:pgSz w:w="11906" w:h="16838"/>
      <w:pgMar w:top="1440" w:right="1474" w:bottom="1440" w:left="1588" w:header="851" w:footer="133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ejaVu Math TeX Gyre">
    <w:panose1 w:val="02000503000000000000"/>
    <w:charset w:val="00"/>
    <w:family w:val="auto"/>
    <w:pitch w:val="default"/>
    <w:sig w:usb0="A10000EF" w:usb1="4201F9EE" w:usb2="02000000" w:usb3="00000000" w:csb0="60000193" w:csb1="0DD4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B19EE">
    <w:pPr>
      <w:pStyle w:val="15"/>
      <w:jc w:val="center"/>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w:instrText>
    </w:r>
    <w:r>
      <w:rPr>
        <w:rFonts w:ascii="宋体" w:hAnsi="宋体"/>
        <w:sz w:val="28"/>
        <w:szCs w:val="28"/>
      </w:rPr>
      <w:fldChar w:fldCharType="separate"/>
    </w:r>
    <w:r>
      <w:rPr>
        <w:rFonts w:ascii="宋体" w:hAnsi="宋体"/>
        <w:sz w:val="28"/>
        <w:szCs w:val="28"/>
      </w:rPr>
      <w:t>5</w:t>
    </w:r>
    <w:r>
      <w:rPr>
        <w:rFonts w:ascii="宋体" w:hAnsi="宋体"/>
        <w:sz w:val="28"/>
        <w:szCs w:val="28"/>
      </w:rPr>
      <w:fldChar w:fldCharType="end"/>
    </w:r>
    <w:r>
      <w:rPr>
        <w:rFonts w:ascii="宋体" w:hAnsi="宋体"/>
        <w:sz w:val="28"/>
        <w:szCs w:val="28"/>
      </w:rPr>
      <w:t xml:space="preserve"> -</w:t>
    </w:r>
  </w:p>
  <w:p w14:paraId="2DBEB7D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486B9">
    <w:pPr>
      <w:pStyle w:val="15"/>
      <w:framePr w:wrap="around" w:vAnchor="text" w:hAnchor="margin" w:xAlign="center" w:y="1"/>
      <w:rPr>
        <w:rStyle w:val="22"/>
      </w:rPr>
    </w:pPr>
    <w:r>
      <w:fldChar w:fldCharType="begin"/>
    </w:r>
    <w:r>
      <w:rPr>
        <w:rStyle w:val="22"/>
      </w:rPr>
      <w:instrText xml:space="preserve">PAGE  </w:instrText>
    </w:r>
    <w:r>
      <w:fldChar w:fldCharType="end"/>
    </w:r>
  </w:p>
  <w:p w14:paraId="5AC134D5">
    <w:pPr>
      <w:pStyle w:val="15"/>
    </w:pPr>
  </w:p>
  <w:p w14:paraId="4114B01D"/>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BE85B">
    <w:pPr>
      <w:pStyle w:val="16"/>
      <w:pBdr>
        <w:bottom w:val="none" w:color="auto" w:sz="0" w:space="0"/>
      </w:pBdr>
    </w:pPr>
  </w:p>
  <w:p w14:paraId="44BDAE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F028D2"/>
    <w:multiLevelType w:val="multilevel"/>
    <w:tmpl w:val="50F028D2"/>
    <w:lvl w:ilvl="0" w:tentative="0">
      <w:start w:val="1"/>
      <w:numFmt w:val="decimal"/>
      <w:pStyle w:val="2"/>
      <w:lvlText w:val="%1"/>
      <w:lvlJc w:val="left"/>
      <w:pPr>
        <w:tabs>
          <w:tab w:val="left" w:pos="1370"/>
        </w:tabs>
        <w:ind w:left="1370" w:hanging="432"/>
      </w:pPr>
      <w:rPr>
        <w:rFonts w:hint="eastAsia" w:cs="Times New Roman"/>
      </w:rPr>
    </w:lvl>
    <w:lvl w:ilvl="1" w:tentative="0">
      <w:start w:val="1"/>
      <w:numFmt w:val="decimal"/>
      <w:lvlText w:val="%1.%2"/>
      <w:lvlJc w:val="left"/>
      <w:pPr>
        <w:tabs>
          <w:tab w:val="left" w:pos="1514"/>
        </w:tabs>
        <w:ind w:left="1514" w:hanging="576"/>
      </w:pPr>
      <w:rPr>
        <w:rFonts w:hint="eastAsia" w:cs="Times New Roman"/>
      </w:rPr>
    </w:lvl>
    <w:lvl w:ilvl="2" w:tentative="0">
      <w:start w:val="1"/>
      <w:numFmt w:val="decimal"/>
      <w:lvlText w:val="%1.%2.%3"/>
      <w:lvlJc w:val="left"/>
      <w:pPr>
        <w:tabs>
          <w:tab w:val="left" w:pos="1658"/>
        </w:tabs>
        <w:ind w:left="1658" w:hanging="720"/>
      </w:pPr>
      <w:rPr>
        <w:rFonts w:hint="eastAsia" w:cs="Times New Roman"/>
        <w:b w:val="0"/>
        <w:i w:val="0"/>
        <w:sz w:val="28"/>
      </w:rPr>
    </w:lvl>
    <w:lvl w:ilvl="3" w:tentative="0">
      <w:start w:val="1"/>
      <w:numFmt w:val="decimal"/>
      <w:lvlText w:val="%1.%2.%3.%4"/>
      <w:lvlJc w:val="left"/>
      <w:pPr>
        <w:tabs>
          <w:tab w:val="left" w:pos="1802"/>
        </w:tabs>
        <w:ind w:left="1802" w:hanging="864"/>
      </w:pPr>
      <w:rPr>
        <w:rFonts w:hint="eastAsia" w:cs="Times New Roman"/>
      </w:rPr>
    </w:lvl>
    <w:lvl w:ilvl="4" w:tentative="0">
      <w:start w:val="1"/>
      <w:numFmt w:val="decimal"/>
      <w:lvlText w:val="%1.%2.%3.%4.%5"/>
      <w:lvlJc w:val="left"/>
      <w:pPr>
        <w:tabs>
          <w:tab w:val="left" w:pos="1946"/>
        </w:tabs>
        <w:ind w:left="1946" w:hanging="1008"/>
      </w:pPr>
      <w:rPr>
        <w:rFonts w:hint="eastAsia" w:cs="Times New Roman"/>
      </w:rPr>
    </w:lvl>
    <w:lvl w:ilvl="5" w:tentative="0">
      <w:start w:val="1"/>
      <w:numFmt w:val="decimal"/>
      <w:lvlText w:val="%1.%2.%3.%4.%5.%6"/>
      <w:lvlJc w:val="left"/>
      <w:pPr>
        <w:tabs>
          <w:tab w:val="left" w:pos="2090"/>
        </w:tabs>
        <w:ind w:left="2090" w:hanging="1152"/>
      </w:pPr>
      <w:rPr>
        <w:rFonts w:hint="eastAsia" w:cs="Times New Roman"/>
      </w:rPr>
    </w:lvl>
    <w:lvl w:ilvl="6" w:tentative="0">
      <w:start w:val="1"/>
      <w:numFmt w:val="decimal"/>
      <w:lvlText w:val="%1.%2.%3.%4.%5.%6.%7"/>
      <w:lvlJc w:val="left"/>
      <w:pPr>
        <w:tabs>
          <w:tab w:val="left" w:pos="2234"/>
        </w:tabs>
        <w:ind w:left="2234" w:hanging="1296"/>
      </w:pPr>
      <w:rPr>
        <w:rFonts w:hint="eastAsia" w:cs="Times New Roman"/>
      </w:rPr>
    </w:lvl>
    <w:lvl w:ilvl="7" w:tentative="0">
      <w:start w:val="1"/>
      <w:numFmt w:val="decimal"/>
      <w:lvlText w:val="%1.%2.%3.%4.%5.%6.%7.%8"/>
      <w:lvlJc w:val="left"/>
      <w:pPr>
        <w:tabs>
          <w:tab w:val="left" w:pos="2378"/>
        </w:tabs>
        <w:ind w:left="2378" w:hanging="1440"/>
      </w:pPr>
      <w:rPr>
        <w:rFonts w:hint="eastAsia" w:cs="Times New Roman"/>
      </w:rPr>
    </w:lvl>
    <w:lvl w:ilvl="8" w:tentative="0">
      <w:start w:val="1"/>
      <w:numFmt w:val="decimal"/>
      <w:lvlText w:val="%1.%2.%3.%4.%5.%6.%7.%8.%9"/>
      <w:lvlJc w:val="left"/>
      <w:pPr>
        <w:tabs>
          <w:tab w:val="left" w:pos="2522"/>
        </w:tabs>
        <w:ind w:left="2522" w:hanging="1584"/>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0Y2FhNTM2ZGY5MjQ0MjFlYmNiMTkwNzk2ZWVmNWEifQ=="/>
  </w:docVars>
  <w:rsids>
    <w:rsidRoot w:val="410B6A5F"/>
    <w:rsid w:val="026871D0"/>
    <w:rsid w:val="0285033E"/>
    <w:rsid w:val="02CE2E4C"/>
    <w:rsid w:val="03C930BD"/>
    <w:rsid w:val="03E5503B"/>
    <w:rsid w:val="04932B11"/>
    <w:rsid w:val="068B5923"/>
    <w:rsid w:val="07B471FE"/>
    <w:rsid w:val="08FF3F01"/>
    <w:rsid w:val="09C76BC9"/>
    <w:rsid w:val="0A133D15"/>
    <w:rsid w:val="0A852B6F"/>
    <w:rsid w:val="0C861185"/>
    <w:rsid w:val="0CB65198"/>
    <w:rsid w:val="0E665368"/>
    <w:rsid w:val="1158632A"/>
    <w:rsid w:val="117C330E"/>
    <w:rsid w:val="11CE72AB"/>
    <w:rsid w:val="14412FA9"/>
    <w:rsid w:val="152E650F"/>
    <w:rsid w:val="15785D0F"/>
    <w:rsid w:val="1720665E"/>
    <w:rsid w:val="175C6F6A"/>
    <w:rsid w:val="18695DE3"/>
    <w:rsid w:val="19CF5ABD"/>
    <w:rsid w:val="1A50725A"/>
    <w:rsid w:val="1B5C643E"/>
    <w:rsid w:val="1CEE4B08"/>
    <w:rsid w:val="1D1A58FD"/>
    <w:rsid w:val="1EC024D4"/>
    <w:rsid w:val="1F8B3B8B"/>
    <w:rsid w:val="1FBC6E09"/>
    <w:rsid w:val="1FDF3FD0"/>
    <w:rsid w:val="1FE45B87"/>
    <w:rsid w:val="20066418"/>
    <w:rsid w:val="20642787"/>
    <w:rsid w:val="20A53730"/>
    <w:rsid w:val="20CC4B12"/>
    <w:rsid w:val="21385D37"/>
    <w:rsid w:val="223E258C"/>
    <w:rsid w:val="231D24E3"/>
    <w:rsid w:val="236264C6"/>
    <w:rsid w:val="23694527"/>
    <w:rsid w:val="23F80738"/>
    <w:rsid w:val="26573B9B"/>
    <w:rsid w:val="268169ED"/>
    <w:rsid w:val="26957247"/>
    <w:rsid w:val="27BC248B"/>
    <w:rsid w:val="27CB7B5F"/>
    <w:rsid w:val="292C7C80"/>
    <w:rsid w:val="2B415A8D"/>
    <w:rsid w:val="2C236BAF"/>
    <w:rsid w:val="2D7746A6"/>
    <w:rsid w:val="2DEA30CA"/>
    <w:rsid w:val="2E113916"/>
    <w:rsid w:val="2EB24F02"/>
    <w:rsid w:val="2F056713"/>
    <w:rsid w:val="31CB6BC1"/>
    <w:rsid w:val="332F7F28"/>
    <w:rsid w:val="34180991"/>
    <w:rsid w:val="345B2BFE"/>
    <w:rsid w:val="34785525"/>
    <w:rsid w:val="35E536EA"/>
    <w:rsid w:val="36FC1B14"/>
    <w:rsid w:val="37C338B3"/>
    <w:rsid w:val="37EE37B7"/>
    <w:rsid w:val="38E61E3B"/>
    <w:rsid w:val="39561D2C"/>
    <w:rsid w:val="3AFF372F"/>
    <w:rsid w:val="3C85043D"/>
    <w:rsid w:val="3D4A3CFF"/>
    <w:rsid w:val="3D7F6C45"/>
    <w:rsid w:val="3EC57D08"/>
    <w:rsid w:val="410B6A5F"/>
    <w:rsid w:val="41C80282"/>
    <w:rsid w:val="42E35F26"/>
    <w:rsid w:val="441A20EA"/>
    <w:rsid w:val="454F3059"/>
    <w:rsid w:val="45AE0F60"/>
    <w:rsid w:val="46AE2A8F"/>
    <w:rsid w:val="47341BB2"/>
    <w:rsid w:val="473E36C8"/>
    <w:rsid w:val="47537093"/>
    <w:rsid w:val="477F6C5D"/>
    <w:rsid w:val="47EB7590"/>
    <w:rsid w:val="47F023AF"/>
    <w:rsid w:val="48220B6D"/>
    <w:rsid w:val="4875046F"/>
    <w:rsid w:val="49F66C27"/>
    <w:rsid w:val="4E7E7CCE"/>
    <w:rsid w:val="4F3B4D8B"/>
    <w:rsid w:val="4FE44DD1"/>
    <w:rsid w:val="502A6DAE"/>
    <w:rsid w:val="51194E54"/>
    <w:rsid w:val="5380167E"/>
    <w:rsid w:val="545569BE"/>
    <w:rsid w:val="575140B2"/>
    <w:rsid w:val="5A267BD2"/>
    <w:rsid w:val="5B5704CE"/>
    <w:rsid w:val="5BDE5A68"/>
    <w:rsid w:val="5D413CE3"/>
    <w:rsid w:val="5D6610B7"/>
    <w:rsid w:val="5FF2068A"/>
    <w:rsid w:val="600270BA"/>
    <w:rsid w:val="60B72640"/>
    <w:rsid w:val="61312F5B"/>
    <w:rsid w:val="634C5D82"/>
    <w:rsid w:val="63FF5754"/>
    <w:rsid w:val="64161140"/>
    <w:rsid w:val="646310A2"/>
    <w:rsid w:val="6497724C"/>
    <w:rsid w:val="64DB5B96"/>
    <w:rsid w:val="671E6EBA"/>
    <w:rsid w:val="680A3979"/>
    <w:rsid w:val="690C3919"/>
    <w:rsid w:val="6C507FC1"/>
    <w:rsid w:val="6DCF1233"/>
    <w:rsid w:val="6E933305"/>
    <w:rsid w:val="6EC46A76"/>
    <w:rsid w:val="6EF54186"/>
    <w:rsid w:val="6F5F7441"/>
    <w:rsid w:val="70143BFB"/>
    <w:rsid w:val="718878EE"/>
    <w:rsid w:val="71D961AA"/>
    <w:rsid w:val="72161365"/>
    <w:rsid w:val="725B146D"/>
    <w:rsid w:val="72780376"/>
    <w:rsid w:val="7295022D"/>
    <w:rsid w:val="73486C5E"/>
    <w:rsid w:val="737A5187"/>
    <w:rsid w:val="74065409"/>
    <w:rsid w:val="74092D09"/>
    <w:rsid w:val="743042BF"/>
    <w:rsid w:val="74597CAA"/>
    <w:rsid w:val="760D4351"/>
    <w:rsid w:val="790051E3"/>
    <w:rsid w:val="7B1B1DE1"/>
    <w:rsid w:val="7B73493B"/>
    <w:rsid w:val="7C413482"/>
    <w:rsid w:val="7C4479EA"/>
    <w:rsid w:val="7C5C23B0"/>
    <w:rsid w:val="7DB91389"/>
    <w:rsid w:val="7F281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autoRedefine/>
    <w:qFormat/>
    <w:uiPriority w:val="0"/>
    <w:pPr>
      <w:keepNext/>
      <w:keepLines/>
      <w:numPr>
        <w:ilvl w:val="0"/>
        <w:numId w:val="1"/>
      </w:numPr>
      <w:tabs>
        <w:tab w:val="left" w:pos="432"/>
      </w:tabs>
      <w:spacing w:line="360" w:lineRule="auto"/>
      <w:ind w:left="0" w:firstLine="0"/>
      <w:jc w:val="center"/>
      <w:outlineLvl w:val="0"/>
    </w:pPr>
    <w:rPr>
      <w:rFonts w:ascii="Times New Roman" w:hAnsi="Times New Roman" w:eastAsia="宋体"/>
      <w:b/>
      <w:kern w:val="44"/>
      <w:sz w:val="36"/>
      <w:szCs w:val="44"/>
    </w:rPr>
  </w:style>
  <w:style w:type="paragraph" w:styleId="3">
    <w:name w:val="heading 2"/>
    <w:basedOn w:val="1"/>
    <w:next w:val="1"/>
    <w:link w:val="27"/>
    <w:autoRedefine/>
    <w:semiHidden/>
    <w:unhideWhenUsed/>
    <w:qFormat/>
    <w:uiPriority w:val="0"/>
    <w:pPr>
      <w:keepNext w:val="0"/>
      <w:keepLines w:val="0"/>
      <w:spacing w:line="360" w:lineRule="auto"/>
      <w:ind w:firstLine="0" w:firstLineChars="0"/>
      <w:outlineLvl w:val="1"/>
    </w:pPr>
    <w:rPr>
      <w:rFonts w:eastAsia="宋体" w:cs="Times New Roman"/>
      <w:b/>
      <w:bCs/>
      <w:sz w:val="24"/>
      <w:szCs w:val="32"/>
    </w:rPr>
  </w:style>
  <w:style w:type="paragraph" w:styleId="4">
    <w:name w:val="heading 3"/>
    <w:basedOn w:val="1"/>
    <w:next w:val="1"/>
    <w:link w:val="28"/>
    <w:autoRedefine/>
    <w:semiHidden/>
    <w:unhideWhenUsed/>
    <w:qFormat/>
    <w:uiPriority w:val="0"/>
    <w:pPr>
      <w:keepNext w:val="0"/>
      <w:keepLines w:val="0"/>
      <w:snapToGrid w:val="0"/>
      <w:spacing w:line="360" w:lineRule="auto"/>
      <w:outlineLvl w:val="2"/>
    </w:pPr>
    <w:rPr>
      <w:rFonts w:ascii="Times New Roman" w:hAnsi="Times New Roman" w:eastAsia="宋体" w:cs="Times New Roman"/>
      <w:b/>
      <w:bCs/>
      <w:sz w:val="28"/>
      <w:szCs w:val="32"/>
    </w:rPr>
  </w:style>
  <w:style w:type="paragraph" w:styleId="5">
    <w:name w:val="heading 4"/>
    <w:basedOn w:val="1"/>
    <w:next w:val="1"/>
    <w:link w:val="32"/>
    <w:autoRedefine/>
    <w:semiHidden/>
    <w:unhideWhenUsed/>
    <w:qFormat/>
    <w:uiPriority w:val="0"/>
    <w:pPr>
      <w:keepNext/>
      <w:keepLines/>
      <w:spacing w:line="360" w:lineRule="auto"/>
      <w:outlineLvl w:val="3"/>
    </w:pPr>
    <w:rPr>
      <w:rFonts w:ascii="Arial" w:hAnsi="Arial" w:eastAsia="宋体" w:cs="Times New Roman"/>
      <w:b/>
      <w:bCs/>
      <w:snapToGrid w:val="0"/>
      <w:kern w:val="0"/>
      <w:sz w:val="28"/>
      <w:szCs w:val="28"/>
    </w:rPr>
  </w:style>
  <w:style w:type="character" w:default="1" w:styleId="21">
    <w:name w:val="Default Paragraph Font"/>
    <w:autoRedefine/>
    <w:semiHidden/>
    <w:unhideWhenUsed/>
    <w:qFormat/>
    <w:uiPriority w:val="1"/>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7"/>
    <w:link w:val="30"/>
    <w:autoRedefine/>
    <w:qFormat/>
    <w:uiPriority w:val="0"/>
    <w:pPr>
      <w:spacing w:line="240" w:lineRule="auto"/>
      <w:ind w:firstLine="0" w:firstLineChars="0"/>
      <w:jc w:val="center"/>
    </w:pPr>
    <w:rPr>
      <w:rFonts w:ascii="宋体" w:hAnsi="宋体"/>
      <w:b/>
      <w:sz w:val="21"/>
    </w:rPr>
  </w:style>
  <w:style w:type="paragraph" w:styleId="7">
    <w:name w:val="Body Text First Indent 2"/>
    <w:basedOn w:val="8"/>
    <w:qFormat/>
    <w:uiPriority w:val="0"/>
    <w:pPr>
      <w:ind w:firstLine="420" w:firstLineChars="200"/>
    </w:pPr>
  </w:style>
  <w:style w:type="paragraph" w:styleId="8">
    <w:name w:val="Body Text Indent"/>
    <w:basedOn w:val="1"/>
    <w:autoRedefine/>
    <w:qFormat/>
    <w:uiPriority w:val="0"/>
    <w:pPr>
      <w:spacing w:after="120" w:afterLines="0" w:afterAutospacing="0"/>
      <w:ind w:left="420" w:leftChars="200"/>
    </w:pPr>
  </w:style>
  <w:style w:type="paragraph" w:styleId="9">
    <w:name w:val="Salutation"/>
    <w:basedOn w:val="1"/>
    <w:next w:val="1"/>
    <w:autoRedefine/>
    <w:qFormat/>
    <w:uiPriority w:val="0"/>
  </w:style>
  <w:style w:type="paragraph" w:styleId="10">
    <w:name w:val="Body Text"/>
    <w:basedOn w:val="1"/>
    <w:next w:val="11"/>
    <w:autoRedefine/>
    <w:qFormat/>
    <w:uiPriority w:val="0"/>
    <w:pPr>
      <w:spacing w:line="360" w:lineRule="auto"/>
      <w:ind w:firstLine="631" w:firstLineChars="200"/>
      <w:jc w:val="both"/>
    </w:pPr>
    <w:rPr>
      <w:rFonts w:ascii="宋体" w:hAnsi="宋体" w:eastAsia="宋体" w:cs="宋体"/>
      <w:sz w:val="28"/>
      <w:szCs w:val="24"/>
    </w:rPr>
  </w:style>
  <w:style w:type="paragraph" w:customStyle="1" w:styleId="11">
    <w:name w:val="xl27"/>
    <w:basedOn w:val="1"/>
    <w:next w:val="12"/>
    <w:qFormat/>
    <w:uiPriority w:val="0"/>
    <w:pPr>
      <w:widowControl/>
      <w:pBdr>
        <w:bottom w:val="single" w:color="auto" w:sz="8" w:space="0"/>
        <w:right w:val="single" w:color="auto" w:sz="8" w:space="0"/>
      </w:pBdr>
      <w:spacing w:before="100" w:beforeAutospacing="1" w:after="100" w:afterAutospacing="1"/>
      <w:jc w:val="left"/>
      <w:textAlignment w:val="top"/>
    </w:pPr>
    <w:rPr>
      <w:rFonts w:ascii="宋体" w:hAnsi="宋体"/>
      <w:kern w:val="0"/>
      <w:sz w:val="20"/>
      <w:szCs w:val="20"/>
    </w:rPr>
  </w:style>
  <w:style w:type="paragraph" w:customStyle="1" w:styleId="12">
    <w:name w:val="A正文"/>
    <w:basedOn w:val="1"/>
    <w:qFormat/>
    <w:uiPriority w:val="0"/>
    <w:pPr>
      <w:adjustRightInd w:val="0"/>
      <w:snapToGrid w:val="0"/>
      <w:spacing w:line="360" w:lineRule="auto"/>
      <w:ind w:firstLine="480" w:firstLineChars="200"/>
    </w:pPr>
    <w:rPr>
      <w:kern w:val="0"/>
      <w:sz w:val="24"/>
    </w:rPr>
  </w:style>
  <w:style w:type="paragraph" w:styleId="13">
    <w:name w:val="toc 3"/>
    <w:basedOn w:val="1"/>
    <w:next w:val="1"/>
    <w:link w:val="33"/>
    <w:autoRedefine/>
    <w:qFormat/>
    <w:uiPriority w:val="0"/>
    <w:pPr>
      <w:ind w:left="0" w:leftChars="0"/>
    </w:pPr>
    <w:rPr>
      <w:rFonts w:ascii="Times New Roman" w:hAnsi="Times New Roman" w:eastAsia="宋体" w:cs="Times New Roman"/>
      <w:sz w:val="28"/>
    </w:rPr>
  </w:style>
  <w:style w:type="paragraph" w:styleId="14">
    <w:name w:val="Plain Text"/>
    <w:basedOn w:val="1"/>
    <w:next w:val="9"/>
    <w:autoRedefine/>
    <w:qFormat/>
    <w:uiPriority w:val="0"/>
    <w:pPr>
      <w:ind w:firstLine="0" w:firstLineChars="0"/>
    </w:pPr>
    <w:rPr>
      <w:rFonts w:ascii="宋体" w:hAnsi="宋体" w:eastAsia="宋体" w:cstheme="minorBidi"/>
      <w:sz w:val="21"/>
      <w:szCs w:val="21"/>
    </w:rPr>
  </w:style>
  <w:style w:type="paragraph" w:styleId="15">
    <w:name w:val="footer"/>
    <w:basedOn w:val="1"/>
    <w:next w:val="1"/>
    <w:qFormat/>
    <w:uiPriority w:val="0"/>
    <w:pPr>
      <w:tabs>
        <w:tab w:val="center" w:pos="4153"/>
        <w:tab w:val="right" w:pos="8306"/>
      </w:tabs>
      <w:snapToGrid w:val="0"/>
      <w:jc w:val="left"/>
    </w:pPr>
    <w:rPr>
      <w:sz w:val="18"/>
      <w:szCs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autoRedefine/>
    <w:qFormat/>
    <w:uiPriority w:val="0"/>
    <w:pPr>
      <w:spacing w:before="120" w:after="120"/>
      <w:ind w:firstLine="0" w:firstLineChars="0"/>
      <w:jc w:val="both"/>
    </w:pPr>
    <w:rPr>
      <w:rFonts w:ascii="Times New Roman" w:hAnsi="Times New Roman" w:eastAsia="宋体" w:cs="Times New Roman"/>
      <w:b/>
      <w:bCs/>
      <w:caps/>
      <w:snapToGrid w:val="0"/>
      <w:kern w:val="0"/>
      <w:sz w:val="28"/>
      <w:szCs w:val="20"/>
    </w:rPr>
  </w:style>
  <w:style w:type="paragraph" w:styleId="18">
    <w:name w:val="toc 2"/>
    <w:basedOn w:val="1"/>
    <w:next w:val="1"/>
    <w:autoRedefine/>
    <w:qFormat/>
    <w:uiPriority w:val="0"/>
    <w:pPr>
      <w:ind w:left="0"/>
      <w:jc w:val="both"/>
    </w:pPr>
    <w:rPr>
      <w:rFonts w:ascii="Times New Roman" w:hAnsi="Times New Roman" w:eastAsia="宋体" w:cs="Times New Roman"/>
      <w:smallCaps/>
      <w:snapToGrid w:val="0"/>
      <w:kern w:val="0"/>
      <w:sz w:val="24"/>
      <w:szCs w:val="20"/>
    </w:rPr>
  </w:style>
  <w:style w:type="paragraph" w:styleId="19">
    <w:name w:val="Body Text 2"/>
    <w:basedOn w:val="1"/>
    <w:autoRedefine/>
    <w:qFormat/>
    <w:uiPriority w:val="0"/>
    <w:pPr>
      <w:spacing w:after="120" w:afterLines="0" w:afterAutospacing="0" w:line="480" w:lineRule="auto"/>
    </w:pPr>
  </w:style>
  <w:style w:type="character" w:styleId="22">
    <w:name w:val="page number"/>
    <w:basedOn w:val="21"/>
    <w:qFormat/>
    <w:uiPriority w:val="0"/>
  </w:style>
  <w:style w:type="paragraph" w:customStyle="1" w:styleId="23">
    <w:name w:val="表格"/>
    <w:basedOn w:val="8"/>
    <w:next w:val="1"/>
    <w:link w:val="25"/>
    <w:autoRedefine/>
    <w:qFormat/>
    <w:uiPriority w:val="0"/>
    <w:pPr>
      <w:spacing w:line="240" w:lineRule="auto"/>
      <w:ind w:left="0" w:leftChars="0" w:firstLine="0" w:firstLineChars="0"/>
      <w:jc w:val="center"/>
    </w:pPr>
    <w:rPr>
      <w:rFonts w:ascii="Times New Roman" w:hAnsi="Times New Roman" w:eastAsia="宋体" w:cs="Times New Roman"/>
      <w:sz w:val="21"/>
      <w:szCs w:val="24"/>
    </w:rPr>
  </w:style>
  <w:style w:type="paragraph" w:customStyle="1" w:styleId="24">
    <w:name w:val="表头"/>
    <w:basedOn w:val="10"/>
    <w:next w:val="1"/>
    <w:link w:val="31"/>
    <w:autoRedefine/>
    <w:qFormat/>
    <w:uiPriority w:val="0"/>
    <w:pPr>
      <w:jc w:val="center"/>
    </w:pPr>
    <w:rPr>
      <w:rFonts w:ascii="Times New Roman" w:hAnsi="Times New Roman" w:eastAsia="宋体" w:cs="Times New Roman"/>
      <w:b/>
      <w:kern w:val="0"/>
      <w:sz w:val="21"/>
      <w:szCs w:val="20"/>
    </w:rPr>
  </w:style>
  <w:style w:type="character" w:customStyle="1" w:styleId="25">
    <w:name w:val="表格 Char"/>
    <w:link w:val="23"/>
    <w:autoRedefine/>
    <w:qFormat/>
    <w:locked/>
    <w:uiPriority w:val="0"/>
    <w:rPr>
      <w:rFonts w:hint="eastAsia" w:ascii="Times New Roman" w:hAnsi="Times New Roman" w:eastAsia="宋体" w:cs="Times New Roman"/>
      <w:spacing w:val="-10"/>
      <w:sz w:val="21"/>
      <w:szCs w:val="24"/>
    </w:rPr>
  </w:style>
  <w:style w:type="character" w:customStyle="1" w:styleId="26">
    <w:name w:val="标题 1 Char"/>
    <w:link w:val="2"/>
    <w:autoRedefine/>
    <w:qFormat/>
    <w:uiPriority w:val="0"/>
    <w:rPr>
      <w:rFonts w:ascii="Times New Roman" w:hAnsi="Times New Roman" w:eastAsia="宋体"/>
      <w:b/>
      <w:kern w:val="44"/>
      <w:sz w:val="36"/>
      <w:szCs w:val="44"/>
    </w:rPr>
  </w:style>
  <w:style w:type="character" w:customStyle="1" w:styleId="27">
    <w:name w:val="标题 2 Char"/>
    <w:basedOn w:val="21"/>
    <w:link w:val="3"/>
    <w:autoRedefine/>
    <w:qFormat/>
    <w:uiPriority w:val="0"/>
    <w:rPr>
      <w:rFonts w:ascii="Arial" w:hAnsi="Arial" w:eastAsia="宋体" w:cs="Times New Roman"/>
      <w:b/>
      <w:bCs/>
      <w:sz w:val="28"/>
      <w:szCs w:val="32"/>
    </w:rPr>
  </w:style>
  <w:style w:type="character" w:customStyle="1" w:styleId="28">
    <w:name w:val="标题 3 Char"/>
    <w:basedOn w:val="21"/>
    <w:link w:val="4"/>
    <w:autoRedefine/>
    <w:qFormat/>
    <w:uiPriority w:val="0"/>
    <w:rPr>
      <w:rFonts w:ascii="Times New Roman" w:hAnsi="Times New Roman" w:eastAsia="宋体" w:cs="Times New Roman"/>
      <w:b/>
      <w:bCs/>
      <w:sz w:val="28"/>
      <w:szCs w:val="32"/>
    </w:rPr>
  </w:style>
  <w:style w:type="paragraph" w:customStyle="1" w:styleId="29">
    <w:name w:val="表格1"/>
    <w:basedOn w:val="1"/>
    <w:autoRedefine/>
    <w:qFormat/>
    <w:uiPriority w:val="0"/>
    <w:pPr>
      <w:spacing w:line="240" w:lineRule="auto"/>
      <w:ind w:firstLine="0" w:firstLineChars="0"/>
      <w:jc w:val="center"/>
    </w:pPr>
    <w:rPr>
      <w:rFonts w:hint="default"/>
      <w:sz w:val="24"/>
    </w:rPr>
  </w:style>
  <w:style w:type="character" w:customStyle="1" w:styleId="30">
    <w:name w:val="正文缩进 Char"/>
    <w:link w:val="6"/>
    <w:autoRedefine/>
    <w:qFormat/>
    <w:uiPriority w:val="0"/>
    <w:rPr>
      <w:rFonts w:ascii="宋体" w:hAnsi="宋体" w:eastAsia="宋体" w:cs="Times New Roman"/>
      <w:b/>
      <w:sz w:val="24"/>
    </w:rPr>
  </w:style>
  <w:style w:type="character" w:customStyle="1" w:styleId="31">
    <w:name w:val="表头 Char"/>
    <w:link w:val="24"/>
    <w:autoRedefine/>
    <w:qFormat/>
    <w:uiPriority w:val="0"/>
    <w:rPr>
      <w:rFonts w:ascii="Times New Roman" w:hAnsi="Times New Roman" w:eastAsia="宋体" w:cs="Times New Roman"/>
      <w:b/>
      <w:kern w:val="0"/>
      <w:sz w:val="18"/>
      <w:szCs w:val="20"/>
      <w:lang w:eastAsia="en-US"/>
    </w:rPr>
  </w:style>
  <w:style w:type="character" w:customStyle="1" w:styleId="32">
    <w:name w:val="标题 4 Char"/>
    <w:basedOn w:val="21"/>
    <w:link w:val="5"/>
    <w:autoRedefine/>
    <w:qFormat/>
    <w:uiPriority w:val="0"/>
    <w:rPr>
      <w:rFonts w:ascii="Arial" w:hAnsi="Arial" w:eastAsia="宋体" w:cs="Times New Roman"/>
      <w:b/>
      <w:bCs/>
      <w:snapToGrid w:val="0"/>
      <w:kern w:val="0"/>
      <w:sz w:val="28"/>
      <w:szCs w:val="28"/>
    </w:rPr>
  </w:style>
  <w:style w:type="character" w:customStyle="1" w:styleId="33">
    <w:name w:val="目录 3 Char"/>
    <w:link w:val="13"/>
    <w:autoRedefine/>
    <w:qFormat/>
    <w:uiPriority w:val="39"/>
    <w:rPr>
      <w:rFonts w:ascii="Times New Roman" w:hAnsi="Times New Roman" w:eastAsia="宋体" w:cs="Times New Roman"/>
      <w:sz w:val="28"/>
      <w:szCs w:val="22"/>
    </w:rPr>
  </w:style>
  <w:style w:type="paragraph" w:customStyle="1" w:styleId="34">
    <w:name w:val="正文1"/>
    <w:basedOn w:val="1"/>
    <w:qFormat/>
    <w:uiPriority w:val="0"/>
    <w:pPr>
      <w:adjustRightInd w:val="0"/>
      <w:snapToGrid w:val="0"/>
      <w:spacing w:line="360" w:lineRule="auto"/>
      <w:ind w:firstLine="482"/>
    </w:pPr>
    <w:rPr>
      <w:rFonts w:ascii="宋体" w:hAnsi="宋体"/>
      <w:kern w:val="0"/>
      <w:sz w:val="24"/>
    </w:rPr>
  </w:style>
  <w:style w:type="paragraph" w:customStyle="1" w:styleId="35">
    <w:name w:val="Default"/>
    <w:qFormat/>
    <w:uiPriority w:val="0"/>
    <w:pPr>
      <w:widowControl w:val="0"/>
      <w:autoSpaceDE w:val="0"/>
      <w:autoSpaceDN w:val="0"/>
      <w:adjustRightInd w:val="0"/>
    </w:pPr>
    <w:rPr>
      <w:rFonts w:ascii="DejaVu Math TeX Gyre" w:hAnsi="Times New Roman" w:eastAsia="DejaVu Math TeX Gyre" w:cs="DejaVu Math TeX Gyre"/>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2670</Words>
  <Characters>2905</Characters>
  <Lines>0</Lines>
  <Paragraphs>0</Paragraphs>
  <TotalTime>0</TotalTime>
  <ScaleCrop>false</ScaleCrop>
  <LinksUpToDate>false</LinksUpToDate>
  <CharactersWithSpaces>2910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2024-10-17T07:44:00Z</dcterms:created>
  <dc:creator>Exit</dc:creator>
  <cp:lastModifiedBy>JKQHBJ</cp:lastModifiedBy>
  <dcterms:modified xsi:type="dcterms:W3CDTF">2026-04-29T06:45:11Z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19197519608645C98916A2502B8C6625_11</vt:lpwstr>
  </property>
  <property fmtid="{D5CDD505-2E9C-101B-9397-08002B2CF9AE}" pid="4" name="KSOTemplateDocerSaveRecord">
    <vt:lpwstr>eyJoZGlkIjoiNDc0MjZjNzMyMDc0ZTk1OGY0NWYxNmY0YzYyOGQxMjQiLCJ1c2VySWQiOiI0MDc2NzA0MjAifQ==</vt:lpwstr>
  </property>
</Properties>
</file>