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54A2C" w14:textId="4D71FF84" w:rsidR="00C275DE" w:rsidRDefault="00000000" w:rsidP="008E401A">
      <w:pPr>
        <w:spacing w:line="600" w:lineRule="exact"/>
        <w:jc w:val="center"/>
        <w:rPr>
          <w:rFonts w:ascii="方正小标宋简体" w:eastAsia="方正小标宋简体"/>
          <w:sz w:val="44"/>
          <w:szCs w:val="44"/>
        </w:rPr>
      </w:pPr>
      <w:r>
        <w:rPr>
          <w:rFonts w:ascii="方正小标宋简体" w:eastAsia="方正小标宋简体" w:hint="eastAsia"/>
          <w:sz w:val="44"/>
          <w:szCs w:val="44"/>
        </w:rPr>
        <w:t>池州经济技术开发区生态环境局关于</w:t>
      </w:r>
      <w:bookmarkStart w:id="0" w:name="_Hlk78432418"/>
      <w:r>
        <w:rPr>
          <w:rFonts w:ascii="方正小标宋简体" w:eastAsia="方正小标宋简体" w:hint="eastAsia"/>
          <w:sz w:val="44"/>
          <w:szCs w:val="44"/>
        </w:rPr>
        <w:t>年产10000吨纳米电子陶瓷新材料生产项目（一期）环境影响报告表</w:t>
      </w:r>
      <w:bookmarkEnd w:id="0"/>
      <w:r>
        <w:rPr>
          <w:rFonts w:ascii="方正小标宋简体" w:eastAsia="方正小标宋简体" w:hint="eastAsia"/>
          <w:sz w:val="44"/>
          <w:szCs w:val="44"/>
        </w:rPr>
        <w:t>的批复</w:t>
      </w:r>
    </w:p>
    <w:p w14:paraId="4EAB2AE9" w14:textId="77777777" w:rsidR="00C275DE" w:rsidRDefault="00C275DE" w:rsidP="00F76D67">
      <w:pPr>
        <w:pStyle w:val="Default"/>
      </w:pPr>
    </w:p>
    <w:p w14:paraId="179A1DF0" w14:textId="77777777" w:rsidR="00C275DE" w:rsidRDefault="00000000" w:rsidP="008E401A">
      <w:pPr>
        <w:spacing w:line="54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中纳瑞达（池州）新材料有限公司：</w:t>
      </w:r>
    </w:p>
    <w:p w14:paraId="0E7B4C3E" w14:textId="77777777" w:rsidR="00C275DE" w:rsidRDefault="00000000" w:rsidP="008E401A">
      <w:pPr>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你公司报来的《年产10000吨纳米电子陶瓷新材料生产项目（一期）环境影响报告表》（报批本）（以下简称《报告表》）等材料收悉。应你公司申请，我局于2</w:t>
      </w:r>
      <w:r>
        <w:rPr>
          <w:rFonts w:ascii="仿宋_GB2312" w:eastAsia="仿宋_GB2312" w:hAnsi="仿宋_GB2312" w:cs="仿宋_GB2312"/>
          <w:sz w:val="32"/>
          <w:szCs w:val="32"/>
        </w:rPr>
        <w:t>024</w:t>
      </w:r>
      <w:r>
        <w:rPr>
          <w:rFonts w:ascii="仿宋_GB2312" w:eastAsia="仿宋_GB2312" w:hAnsi="仿宋_GB2312" w:cs="仿宋_GB2312" w:hint="eastAsia"/>
          <w:sz w:val="32"/>
          <w:szCs w:val="32"/>
        </w:rPr>
        <w:t>年7月26日组织专家对《报告表》进行了技术审查，经局专题会议研究通过并公示，现批复如下</w:t>
      </w:r>
      <w:r>
        <w:rPr>
          <w:rFonts w:ascii="仿宋_GB2312" w:eastAsia="仿宋_GB2312" w:hAnsi="仿宋_GB2312" w:cs="仿宋_GB2312" w:hint="eastAsia"/>
          <w:spacing w:val="-2"/>
          <w:sz w:val="32"/>
          <w:szCs w:val="32"/>
        </w:rPr>
        <w:t>：</w:t>
      </w:r>
    </w:p>
    <w:p w14:paraId="25D6D06E" w14:textId="77777777" w:rsidR="00C275DE" w:rsidRDefault="00000000" w:rsidP="008E401A">
      <w:pPr>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项目概况。中纳瑞达（池州）新材料有限公司年产10000吨纳米电子陶瓷新材料生产项目（一期）位于池州经济技术开发区金光大道以东、双平路以南。项目分两期建设，项目一期建设生产车间、办公质检楼、仓库以及其他相关配套设施用房，占地约30亩。项目购置管式静态混合器、超声水热结晶器、膜分离洗涤系统、晶浆超声分散装置、晶浆干燥系统以及膜分离系统等主要设备，建设1条电子陶瓷基础粉体材料生产线和1条电子陶瓷配方粉体材料生产线，形成年产3330吨纳米电子陶瓷新材料的产能。项目总投资35000万元，其中环保投资205万元，占总投资的0.59%。池州经济技术开发区经济发展局</w:t>
      </w:r>
      <w:r>
        <w:rPr>
          <w:rFonts w:ascii="仿宋_GB2312" w:eastAsia="仿宋_GB2312" w:hAnsi="仿宋" w:cs="仿宋" w:hint="eastAsia"/>
          <w:spacing w:val="-2"/>
          <w:sz w:val="32"/>
          <w:szCs w:val="32"/>
        </w:rPr>
        <w:t>于2</w:t>
      </w:r>
      <w:r>
        <w:rPr>
          <w:rFonts w:ascii="仿宋_GB2312" w:eastAsia="仿宋_GB2312" w:hAnsi="仿宋" w:cs="仿宋"/>
          <w:spacing w:val="-2"/>
          <w:sz w:val="32"/>
          <w:szCs w:val="32"/>
        </w:rPr>
        <w:t>02</w:t>
      </w:r>
      <w:r>
        <w:rPr>
          <w:rFonts w:ascii="仿宋_GB2312" w:eastAsia="仿宋_GB2312" w:hAnsi="仿宋" w:cs="仿宋" w:hint="eastAsia"/>
          <w:spacing w:val="-2"/>
          <w:sz w:val="32"/>
          <w:szCs w:val="32"/>
        </w:rPr>
        <w:t>4年3月5日以池开</w:t>
      </w:r>
      <w:proofErr w:type="gramStart"/>
      <w:r>
        <w:rPr>
          <w:rFonts w:ascii="仿宋_GB2312" w:eastAsia="仿宋_GB2312" w:hAnsi="仿宋" w:cs="仿宋" w:hint="eastAsia"/>
          <w:spacing w:val="-2"/>
          <w:sz w:val="32"/>
          <w:szCs w:val="32"/>
        </w:rPr>
        <w:t>管经</w:t>
      </w:r>
      <w:proofErr w:type="gramEnd"/>
      <w:r>
        <w:rPr>
          <w:rFonts w:eastAsia="仿宋_GB2312" w:hint="eastAsia"/>
          <w:sz w:val="32"/>
          <w:szCs w:val="32"/>
        </w:rPr>
        <w:t>〔</w:t>
      </w:r>
      <w:r>
        <w:rPr>
          <w:rFonts w:eastAsia="仿宋_GB2312"/>
          <w:sz w:val="32"/>
          <w:szCs w:val="32"/>
        </w:rPr>
        <w:t>202</w:t>
      </w:r>
      <w:r>
        <w:rPr>
          <w:rFonts w:eastAsia="仿宋_GB2312" w:hint="eastAsia"/>
          <w:sz w:val="32"/>
          <w:szCs w:val="32"/>
        </w:rPr>
        <w:t>4</w:t>
      </w:r>
      <w:r>
        <w:rPr>
          <w:rFonts w:eastAsia="仿宋_GB2312" w:hint="eastAsia"/>
          <w:sz w:val="32"/>
          <w:szCs w:val="32"/>
        </w:rPr>
        <w:t>〕</w:t>
      </w:r>
      <w:r>
        <w:rPr>
          <w:rFonts w:eastAsia="仿宋_GB2312" w:hint="eastAsia"/>
          <w:sz w:val="32"/>
          <w:szCs w:val="32"/>
        </w:rPr>
        <w:t>33</w:t>
      </w:r>
      <w:r>
        <w:rPr>
          <w:rFonts w:eastAsia="仿宋_GB2312" w:hint="eastAsia"/>
          <w:sz w:val="32"/>
          <w:szCs w:val="32"/>
        </w:rPr>
        <w:t>号</w:t>
      </w:r>
      <w:r>
        <w:rPr>
          <w:rFonts w:ascii="仿宋_GB2312" w:eastAsia="仿宋_GB2312" w:hAnsi="仿宋" w:cs="仿宋" w:hint="eastAsia"/>
          <w:spacing w:val="-2"/>
          <w:sz w:val="32"/>
          <w:szCs w:val="32"/>
        </w:rPr>
        <w:t>对项目予以备案（项目代码：2403-341761-04-01-856285）。</w:t>
      </w:r>
    </w:p>
    <w:p w14:paraId="3D06D385" w14:textId="77777777" w:rsidR="00C275DE" w:rsidRDefault="00000000" w:rsidP="008E401A">
      <w:pPr>
        <w:overflowPunct w:val="0"/>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二、原则同意《报告表》的技术评审意见和环境影响评价总</w:t>
      </w:r>
      <w:r>
        <w:rPr>
          <w:rFonts w:ascii="仿宋_GB2312" w:eastAsia="仿宋_GB2312" w:hAnsi="仿宋_GB2312" w:cs="仿宋_GB2312" w:hint="eastAsia"/>
          <w:sz w:val="32"/>
          <w:szCs w:val="32"/>
        </w:rPr>
        <w:lastRenderedPageBreak/>
        <w:t>体结论，你公司应严格按照《报告表》中所列项目性质、规模、地点、采用的生产工艺、环境保护措施开展建设和运营。</w:t>
      </w:r>
    </w:p>
    <w:p w14:paraId="49ED5AB3" w14:textId="77777777" w:rsidR="00C275DE" w:rsidRDefault="00000000" w:rsidP="008E401A">
      <w:pPr>
        <w:overflowPunct w:val="0"/>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三、生态环境保护措施和污染物排放控制要求</w:t>
      </w:r>
    </w:p>
    <w:p w14:paraId="31BD6683" w14:textId="60601881" w:rsidR="00C275DE" w:rsidRDefault="00000000" w:rsidP="008E401A">
      <w:pPr>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（一）切实加强全厂废气收集、处理系统设计建设和维护管理。四氯化钛及盐酸储罐大小呼吸废气经管道收集</w:t>
      </w:r>
      <w:r w:rsidR="00DA43C6">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通过二级碱液喷淋装置处理后由一根15m高排气筒（DA001）排放；喷雾干燥粉尘与天然气燃烧烟气（</w:t>
      </w:r>
      <w:r w:rsidR="00B075F0">
        <w:rPr>
          <w:rFonts w:ascii="仿宋_GB2312" w:eastAsia="仿宋_GB2312" w:hAnsi="仿宋_GB2312" w:cs="仿宋_GB2312" w:hint="eastAsia"/>
          <w:sz w:val="32"/>
          <w:szCs w:val="32"/>
        </w:rPr>
        <w:t>在天然气加热器中</w:t>
      </w:r>
      <w:proofErr w:type="gramStart"/>
      <w:r w:rsidR="00B075F0">
        <w:rPr>
          <w:rFonts w:ascii="仿宋_GB2312" w:eastAsia="仿宋_GB2312" w:hAnsi="仿宋_GB2312" w:cs="仿宋_GB2312" w:hint="eastAsia"/>
          <w:sz w:val="32"/>
          <w:szCs w:val="32"/>
        </w:rPr>
        <w:t>通过</w:t>
      </w:r>
      <w:r>
        <w:rPr>
          <w:rFonts w:ascii="仿宋_GB2312" w:eastAsia="仿宋_GB2312" w:hAnsi="仿宋_GB2312" w:cs="仿宋_GB2312" w:hint="eastAsia"/>
          <w:sz w:val="32"/>
          <w:szCs w:val="32"/>
        </w:rPr>
        <w:t>低氮燃烧</w:t>
      </w:r>
      <w:proofErr w:type="gramEnd"/>
      <w:r w:rsidR="00B075F0">
        <w:rPr>
          <w:rFonts w:ascii="仿宋_GB2312" w:eastAsia="仿宋_GB2312" w:hAnsi="仿宋_GB2312" w:cs="仿宋_GB2312" w:hint="eastAsia"/>
          <w:sz w:val="32"/>
          <w:szCs w:val="32"/>
        </w:rPr>
        <w:t>处理烟气</w:t>
      </w:r>
      <w:r>
        <w:rPr>
          <w:rFonts w:ascii="仿宋_GB2312" w:eastAsia="仿宋_GB2312" w:hAnsi="仿宋_GB2312" w:cs="仿宋_GB2312" w:hint="eastAsia"/>
          <w:sz w:val="32"/>
          <w:szCs w:val="32"/>
        </w:rPr>
        <w:t>）经密闭收集</w:t>
      </w:r>
      <w:r w:rsidR="00DA43C6">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通过旋风分离器+布袋除尘器处理后由一根21m排气筒（DA002）排放；气流粉碎粉尘</w:t>
      </w:r>
      <w:proofErr w:type="gramStart"/>
      <w:r>
        <w:rPr>
          <w:rFonts w:ascii="仿宋_GB2312" w:eastAsia="仿宋_GB2312" w:hAnsi="仿宋_GB2312" w:cs="仿宋_GB2312" w:hint="eastAsia"/>
          <w:sz w:val="32"/>
          <w:szCs w:val="32"/>
        </w:rPr>
        <w:t>经设备</w:t>
      </w:r>
      <w:proofErr w:type="gramEnd"/>
      <w:r>
        <w:rPr>
          <w:rFonts w:ascii="仿宋_GB2312" w:eastAsia="仿宋_GB2312" w:hAnsi="仿宋_GB2312" w:cs="仿宋_GB2312" w:hint="eastAsia"/>
          <w:sz w:val="32"/>
          <w:szCs w:val="32"/>
        </w:rPr>
        <w:t>自带收集装置收集</w:t>
      </w:r>
      <w:r w:rsidR="00DA43C6">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通过布袋除尘处理后由1根21m高的排气筒（DA003）排放；打包粉尘</w:t>
      </w:r>
      <w:proofErr w:type="gramStart"/>
      <w:r>
        <w:rPr>
          <w:rFonts w:ascii="仿宋_GB2312" w:eastAsia="仿宋_GB2312" w:hAnsi="仿宋_GB2312" w:cs="仿宋_GB2312" w:hint="eastAsia"/>
          <w:sz w:val="32"/>
          <w:szCs w:val="32"/>
        </w:rPr>
        <w:t>经设备</w:t>
      </w:r>
      <w:proofErr w:type="gramEnd"/>
      <w:r>
        <w:rPr>
          <w:rFonts w:ascii="仿宋_GB2312" w:eastAsia="仿宋_GB2312" w:hAnsi="仿宋_GB2312" w:cs="仿宋_GB2312" w:hint="eastAsia"/>
          <w:sz w:val="32"/>
          <w:szCs w:val="32"/>
        </w:rPr>
        <w:t>自带收集装置收集</w:t>
      </w:r>
      <w:r w:rsidR="00DA43C6">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通过布袋除尘处理后由1根21m高的排气筒（DA004）排放；解包投料粉尘经负压收集</w:t>
      </w:r>
      <w:r w:rsidR="00DA43C6">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通过布袋除尘器处理后由1根21m高的排气筒（DA005）排放。</w:t>
      </w:r>
    </w:p>
    <w:p w14:paraId="403E2007" w14:textId="77777777" w:rsidR="00C275DE" w:rsidRDefault="00000000" w:rsidP="008E401A">
      <w:pPr>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本项目HCl、颗粒物、SO</w:t>
      </w:r>
      <w:r>
        <w:rPr>
          <w:rFonts w:ascii="仿宋_GB2312" w:eastAsia="仿宋_GB2312" w:hAnsi="仿宋_GB2312" w:cs="仿宋_GB2312" w:hint="eastAsia"/>
          <w:sz w:val="32"/>
          <w:szCs w:val="32"/>
          <w:vertAlign w:val="subscript"/>
        </w:rPr>
        <w:t>2</w:t>
      </w:r>
      <w:r>
        <w:rPr>
          <w:rFonts w:ascii="仿宋_GB2312" w:eastAsia="仿宋_GB2312" w:hAnsi="仿宋_GB2312" w:cs="仿宋_GB2312" w:hint="eastAsia"/>
          <w:sz w:val="32"/>
          <w:szCs w:val="32"/>
        </w:rPr>
        <w:t>、NOx排放参照执行《无机化学工业污染物排放标准》（GB 31573-2015）中表3大气污染物排放限值，颗粒物无组织排放执行《大气污染综合排放标准》（GB 16297-1996）表2新污染源大气污染物排放限值中的无组织排放监控浓度限值。</w:t>
      </w:r>
    </w:p>
    <w:p w14:paraId="2A5F7A9F" w14:textId="3AC9B9BC" w:rsidR="00C275DE" w:rsidRPr="000758CC" w:rsidRDefault="006605A3" w:rsidP="008E401A">
      <w:pPr>
        <w:spacing w:line="54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（二）按照“清污分流、雨污分流、分类收集、分质处理”的原则设计、建设和使用厂区排水系统。</w:t>
      </w:r>
      <w:r w:rsidR="000758CC">
        <w:rPr>
          <w:rFonts w:ascii="仿宋_GB2312" w:eastAsia="仿宋_GB2312" w:hAnsi="仿宋_GB2312" w:cs="仿宋_GB2312" w:hint="eastAsia"/>
          <w:spacing w:val="-2"/>
          <w:sz w:val="32"/>
          <w:szCs w:val="32"/>
        </w:rPr>
        <w:t>项目废水主要为车间地面冲洗废水、初期雨水、碱液喷淋废水、双</w:t>
      </w:r>
      <w:proofErr w:type="gramStart"/>
      <w:r w:rsidR="000758CC">
        <w:rPr>
          <w:rFonts w:ascii="仿宋_GB2312" w:eastAsia="仿宋_GB2312" w:hAnsi="仿宋_GB2312" w:cs="仿宋_GB2312" w:hint="eastAsia"/>
          <w:spacing w:val="-2"/>
          <w:sz w:val="32"/>
          <w:szCs w:val="32"/>
        </w:rPr>
        <w:t>极</w:t>
      </w:r>
      <w:proofErr w:type="gramEnd"/>
      <w:r w:rsidR="000758CC">
        <w:rPr>
          <w:rFonts w:ascii="仿宋_GB2312" w:eastAsia="仿宋_GB2312" w:hAnsi="仿宋_GB2312" w:cs="仿宋_GB2312" w:hint="eastAsia"/>
          <w:spacing w:val="-2"/>
          <w:sz w:val="32"/>
          <w:szCs w:val="32"/>
        </w:rPr>
        <w:t>膜废水、纯水制备废水、循环冷却水以及生活污水。其中车间地面冲洗废水、初期雨水、碱液喷淋废水经厂区污水处理站（新建，规模：</w:t>
      </w:r>
      <w:r w:rsidR="000758CC">
        <w:rPr>
          <w:rFonts w:ascii="仿宋_GB2312" w:eastAsia="仿宋_GB2312" w:hAnsi="仿宋_GB2312" w:cs="仿宋_GB2312"/>
          <w:spacing w:val="-2"/>
          <w:sz w:val="32"/>
          <w:szCs w:val="32"/>
        </w:rPr>
        <w:t>10</w:t>
      </w:r>
      <w:r w:rsidR="000758CC">
        <w:rPr>
          <w:rFonts w:ascii="仿宋_GB2312" w:eastAsia="仿宋_GB2312" w:hAnsi="仿宋_GB2312" w:cs="仿宋_GB2312" w:hint="eastAsia"/>
          <w:spacing w:val="-2"/>
          <w:sz w:val="32"/>
          <w:szCs w:val="32"/>
        </w:rPr>
        <w:t>t/h，工</w:t>
      </w:r>
      <w:r w:rsidR="000758CC">
        <w:rPr>
          <w:rFonts w:ascii="仿宋_GB2312" w:eastAsia="仿宋_GB2312" w:hAnsi="仿宋_GB2312" w:cs="仿宋_GB2312" w:hint="eastAsia"/>
          <w:spacing w:val="-2"/>
          <w:sz w:val="32"/>
          <w:szCs w:val="32"/>
        </w:rPr>
        <w:lastRenderedPageBreak/>
        <w:t>艺：</w:t>
      </w:r>
      <w:r w:rsidR="000758CC" w:rsidRPr="000758CC">
        <w:rPr>
          <w:rFonts w:ascii="仿宋_GB2312" w:eastAsia="仿宋_GB2312" w:hAnsi="仿宋_GB2312" w:cs="仿宋_GB2312" w:hint="eastAsia"/>
          <w:spacing w:val="-2"/>
          <w:sz w:val="32"/>
          <w:szCs w:val="32"/>
        </w:rPr>
        <w:t>中和池+</w:t>
      </w:r>
      <w:proofErr w:type="gramStart"/>
      <w:r w:rsidR="000758CC" w:rsidRPr="000758CC">
        <w:rPr>
          <w:rFonts w:ascii="仿宋_GB2312" w:eastAsia="仿宋_GB2312" w:hAnsi="仿宋_GB2312" w:cs="仿宋_GB2312" w:hint="eastAsia"/>
          <w:spacing w:val="-2"/>
          <w:sz w:val="32"/>
          <w:szCs w:val="32"/>
        </w:rPr>
        <w:t>混凝池</w:t>
      </w:r>
      <w:proofErr w:type="gramEnd"/>
      <w:r w:rsidR="000758CC" w:rsidRPr="000758CC">
        <w:rPr>
          <w:rFonts w:ascii="仿宋_GB2312" w:eastAsia="仿宋_GB2312" w:hAnsi="仿宋_GB2312" w:cs="仿宋_GB2312" w:hint="eastAsia"/>
          <w:spacing w:val="-2"/>
          <w:sz w:val="32"/>
          <w:szCs w:val="32"/>
        </w:rPr>
        <w:t>+沉淀池</w:t>
      </w:r>
      <w:r w:rsidR="000758CC">
        <w:rPr>
          <w:rFonts w:ascii="仿宋_GB2312" w:eastAsia="仿宋_GB2312" w:hAnsi="仿宋_GB2312" w:cs="仿宋_GB2312" w:hint="eastAsia"/>
          <w:spacing w:val="-2"/>
          <w:sz w:val="32"/>
          <w:szCs w:val="32"/>
        </w:rPr>
        <w:t>）处理后，与纯水制备废水、循环冷却水以及经纳滤膜和离子交换树脂进行</w:t>
      </w:r>
      <w:proofErr w:type="gramStart"/>
      <w:r w:rsidR="000758CC">
        <w:rPr>
          <w:rFonts w:ascii="仿宋_GB2312" w:eastAsia="仿宋_GB2312" w:hAnsi="仿宋_GB2312" w:cs="仿宋_GB2312" w:hint="eastAsia"/>
          <w:spacing w:val="-2"/>
          <w:sz w:val="32"/>
          <w:szCs w:val="32"/>
        </w:rPr>
        <w:t>钡</w:t>
      </w:r>
      <w:proofErr w:type="gramEnd"/>
      <w:r w:rsidR="000758CC">
        <w:rPr>
          <w:rFonts w:ascii="仿宋_GB2312" w:eastAsia="仿宋_GB2312" w:hAnsi="仿宋_GB2312" w:cs="仿宋_GB2312" w:hint="eastAsia"/>
          <w:spacing w:val="-2"/>
          <w:sz w:val="32"/>
          <w:szCs w:val="32"/>
        </w:rPr>
        <w:t>离子回收处理的双</w:t>
      </w:r>
      <w:proofErr w:type="gramStart"/>
      <w:r w:rsidR="000758CC">
        <w:rPr>
          <w:rFonts w:ascii="仿宋_GB2312" w:eastAsia="仿宋_GB2312" w:hAnsi="仿宋_GB2312" w:cs="仿宋_GB2312" w:hint="eastAsia"/>
          <w:spacing w:val="-2"/>
          <w:sz w:val="32"/>
          <w:szCs w:val="32"/>
        </w:rPr>
        <w:t>极</w:t>
      </w:r>
      <w:proofErr w:type="gramEnd"/>
      <w:r w:rsidR="000758CC">
        <w:rPr>
          <w:rFonts w:ascii="仿宋_GB2312" w:eastAsia="仿宋_GB2312" w:hAnsi="仿宋_GB2312" w:cs="仿宋_GB2312" w:hint="eastAsia"/>
          <w:spacing w:val="-2"/>
          <w:sz w:val="32"/>
          <w:szCs w:val="32"/>
        </w:rPr>
        <w:t>膜废水（车间排口监测，确保总钡达标）</w:t>
      </w:r>
      <w:proofErr w:type="gramStart"/>
      <w:r w:rsidR="000758CC">
        <w:rPr>
          <w:rFonts w:ascii="仿宋_GB2312" w:eastAsia="仿宋_GB2312" w:hAnsi="仿宋_GB2312" w:cs="仿宋_GB2312" w:hint="eastAsia"/>
          <w:spacing w:val="-2"/>
          <w:sz w:val="32"/>
          <w:szCs w:val="32"/>
        </w:rPr>
        <w:t>一并经</w:t>
      </w:r>
      <w:proofErr w:type="gramEnd"/>
      <w:r w:rsidR="000758CC">
        <w:rPr>
          <w:rFonts w:ascii="仿宋_GB2312" w:eastAsia="仿宋_GB2312" w:hAnsi="仿宋_GB2312" w:cs="仿宋_GB2312" w:hint="eastAsia"/>
          <w:spacing w:val="-2"/>
          <w:sz w:val="32"/>
          <w:szCs w:val="32"/>
        </w:rPr>
        <w:t>专管进入池州东华蓝鼎水</w:t>
      </w:r>
      <w:proofErr w:type="gramStart"/>
      <w:r w:rsidR="000758CC">
        <w:rPr>
          <w:rFonts w:ascii="仿宋_GB2312" w:eastAsia="仿宋_GB2312" w:hAnsi="仿宋_GB2312" w:cs="仿宋_GB2312" w:hint="eastAsia"/>
          <w:spacing w:val="-2"/>
          <w:sz w:val="32"/>
          <w:szCs w:val="32"/>
        </w:rPr>
        <w:t>务</w:t>
      </w:r>
      <w:proofErr w:type="gramEnd"/>
      <w:r w:rsidR="000758CC">
        <w:rPr>
          <w:rFonts w:ascii="仿宋_GB2312" w:eastAsia="仿宋_GB2312" w:hAnsi="仿宋_GB2312" w:cs="仿宋_GB2312" w:hint="eastAsia"/>
          <w:spacing w:val="-2"/>
          <w:sz w:val="32"/>
          <w:szCs w:val="32"/>
        </w:rPr>
        <w:t>有限公司处理；生活污水经化粪池收集后排入市政管网，最终进入城东污水处理厂处理。</w:t>
      </w:r>
    </w:p>
    <w:p w14:paraId="2CFA78FD" w14:textId="0354910F" w:rsidR="00C275DE" w:rsidRDefault="00000000" w:rsidP="008E401A">
      <w:pPr>
        <w:spacing w:line="54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项目生产废水执行无机化学工业污染物排放标准（GB 31573-2015）表1水污染物排放限值中的间接排放限值和池州东华蓝鼎水</w:t>
      </w:r>
      <w:proofErr w:type="gramStart"/>
      <w:r>
        <w:rPr>
          <w:rFonts w:ascii="仿宋_GB2312" w:eastAsia="仿宋_GB2312" w:hAnsi="仿宋_GB2312" w:cs="仿宋_GB2312" w:hint="eastAsia"/>
          <w:spacing w:val="-2"/>
          <w:sz w:val="32"/>
          <w:szCs w:val="32"/>
        </w:rPr>
        <w:t>务</w:t>
      </w:r>
      <w:proofErr w:type="gramEnd"/>
      <w:r>
        <w:rPr>
          <w:rFonts w:ascii="仿宋_GB2312" w:eastAsia="仿宋_GB2312" w:hAnsi="仿宋_GB2312" w:cs="仿宋_GB2312" w:hint="eastAsia"/>
          <w:spacing w:val="-2"/>
          <w:sz w:val="32"/>
          <w:szCs w:val="32"/>
        </w:rPr>
        <w:t>有限公司接管标准中较严标准</w:t>
      </w:r>
      <w:r w:rsidR="00DA43C6">
        <w:rPr>
          <w:rFonts w:ascii="仿宋_GB2312" w:eastAsia="仿宋_GB2312" w:hAnsi="仿宋_GB2312" w:cs="仿宋_GB2312" w:hint="eastAsia"/>
          <w:spacing w:val="-2"/>
          <w:sz w:val="32"/>
          <w:szCs w:val="32"/>
        </w:rPr>
        <w:t>。</w:t>
      </w:r>
      <w:r>
        <w:rPr>
          <w:rFonts w:ascii="仿宋_GB2312" w:eastAsia="仿宋_GB2312" w:hAnsi="仿宋_GB2312" w:cs="仿宋_GB2312" w:hint="eastAsia"/>
          <w:spacing w:val="-2"/>
          <w:sz w:val="32"/>
          <w:szCs w:val="32"/>
        </w:rPr>
        <w:t>生活污水单独收集排入城东污水处理厂执行</w:t>
      </w:r>
      <w:r w:rsidR="00F27218">
        <w:rPr>
          <w:rFonts w:eastAsia="仿宋_GB2312" w:hint="eastAsia"/>
          <w:spacing w:val="-2"/>
          <w:sz w:val="32"/>
          <w:szCs w:val="32"/>
        </w:rPr>
        <w:t>《污水综合排放标准》（</w:t>
      </w:r>
      <w:r w:rsidR="00F27218">
        <w:rPr>
          <w:rFonts w:eastAsia="仿宋_GB2312"/>
          <w:spacing w:val="-2"/>
          <w:sz w:val="32"/>
          <w:szCs w:val="32"/>
        </w:rPr>
        <w:t>GB8978-1996</w:t>
      </w:r>
      <w:r w:rsidR="00F27218">
        <w:rPr>
          <w:rFonts w:eastAsia="仿宋_GB2312" w:hint="eastAsia"/>
          <w:spacing w:val="-2"/>
          <w:sz w:val="32"/>
          <w:szCs w:val="32"/>
        </w:rPr>
        <w:t>）的三级标准和</w:t>
      </w:r>
      <w:r>
        <w:rPr>
          <w:rFonts w:ascii="仿宋_GB2312" w:eastAsia="仿宋_GB2312" w:hAnsi="仿宋_GB2312" w:cs="仿宋_GB2312" w:hint="eastAsia"/>
          <w:spacing w:val="-2"/>
          <w:sz w:val="32"/>
          <w:szCs w:val="32"/>
        </w:rPr>
        <w:t>城东污水处理厂接管标准。</w:t>
      </w:r>
    </w:p>
    <w:p w14:paraId="20003BAF" w14:textId="77777777" w:rsidR="00C275DE" w:rsidRDefault="00000000" w:rsidP="008E401A">
      <w:pPr>
        <w:spacing w:line="54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（三）</w:t>
      </w:r>
      <w:r>
        <w:rPr>
          <w:rFonts w:eastAsia="仿宋_GB2312" w:hint="eastAsia"/>
          <w:spacing w:val="-2"/>
          <w:sz w:val="32"/>
          <w:szCs w:val="32"/>
        </w:rPr>
        <w:t>优先选用低噪声设备，合理布置高噪声设备，对高噪声设备采取基础减振、隔声、消声等降噪措施，高噪声设备尽可能远离噪声敏感区。</w:t>
      </w:r>
      <w:r>
        <w:rPr>
          <w:rFonts w:ascii="仿宋_GB2312" w:eastAsia="仿宋_GB2312" w:hAnsi="仿宋_GB2312" w:cs="仿宋_GB2312" w:hint="eastAsia"/>
          <w:spacing w:val="-2"/>
          <w:sz w:val="32"/>
          <w:szCs w:val="32"/>
        </w:rPr>
        <w:t>厂界噪声应满足《工业企业厂界环境噪声排放标准》（GB12348-2008）中3类标准限值。</w:t>
      </w:r>
    </w:p>
    <w:p w14:paraId="43FE5DC6" w14:textId="77777777" w:rsidR="00C275DE" w:rsidRDefault="00000000" w:rsidP="008E401A">
      <w:pPr>
        <w:spacing w:line="540" w:lineRule="exact"/>
        <w:ind w:firstLineChars="200" w:firstLine="632"/>
        <w:rPr>
          <w:rFonts w:eastAsia="仿宋_GB2312"/>
          <w:color w:val="FF0000"/>
          <w:spacing w:val="-2"/>
          <w:sz w:val="32"/>
          <w:szCs w:val="32"/>
        </w:rPr>
      </w:pPr>
      <w:r>
        <w:rPr>
          <w:rFonts w:ascii="仿宋_GB2312" w:eastAsia="仿宋_GB2312" w:hAnsi="仿宋_GB2312" w:cs="仿宋_GB2312" w:hint="eastAsia"/>
          <w:spacing w:val="-2"/>
          <w:sz w:val="32"/>
          <w:szCs w:val="32"/>
        </w:rPr>
        <w:t>（四）固体废物处理处置应遵循“减量化、资源化、无害化”的原则，对固体废物的产生、运输、贮存、处理和处置实施全过程控制。废反渗透膜及滤芯等一般固体废物暂存于一般固废库后交由厂家回收处理；废膜、废布袋、废离子交换树脂、废化学品包装袋、废机油、含油抹布等危险废物暂存于危废库内，定期委托有资质单位处置。</w:t>
      </w:r>
      <w:r>
        <w:rPr>
          <w:rFonts w:eastAsia="仿宋_GB2312" w:hint="eastAsia"/>
          <w:spacing w:val="-2"/>
          <w:sz w:val="32"/>
          <w:szCs w:val="32"/>
        </w:rPr>
        <w:t>一般固废库</w:t>
      </w:r>
      <w:r>
        <w:rPr>
          <w:rFonts w:ascii="仿宋_GB2312" w:eastAsia="仿宋_GB2312" w:hAnsi="仿宋_GB2312" w:cs="仿宋_GB2312" w:hint="eastAsia"/>
          <w:spacing w:val="-2"/>
          <w:sz w:val="32"/>
          <w:szCs w:val="32"/>
        </w:rPr>
        <w:t>（30m</w:t>
      </w:r>
      <w:r>
        <w:rPr>
          <w:rFonts w:ascii="仿宋_GB2312" w:eastAsia="仿宋_GB2312" w:hAnsi="仿宋_GB2312" w:cs="仿宋_GB2312" w:hint="eastAsia"/>
          <w:spacing w:val="-2"/>
          <w:sz w:val="32"/>
          <w:szCs w:val="32"/>
          <w:vertAlign w:val="superscript"/>
        </w:rPr>
        <w:t>2</w:t>
      </w:r>
      <w:r>
        <w:rPr>
          <w:rFonts w:ascii="仿宋_GB2312" w:eastAsia="仿宋_GB2312" w:hAnsi="仿宋_GB2312" w:cs="仿宋_GB2312" w:hint="eastAsia"/>
          <w:spacing w:val="-2"/>
          <w:sz w:val="32"/>
          <w:szCs w:val="32"/>
        </w:rPr>
        <w:t>）</w:t>
      </w:r>
      <w:r>
        <w:rPr>
          <w:rFonts w:eastAsia="仿宋_GB2312" w:hint="eastAsia"/>
          <w:spacing w:val="-2"/>
          <w:sz w:val="32"/>
          <w:szCs w:val="32"/>
        </w:rPr>
        <w:t>按照</w:t>
      </w:r>
      <w:r>
        <w:rPr>
          <w:rFonts w:eastAsia="仿宋_GB2312"/>
          <w:spacing w:val="-2"/>
          <w:sz w:val="32"/>
          <w:szCs w:val="32"/>
        </w:rPr>
        <w:t>“</w:t>
      </w:r>
      <w:r>
        <w:rPr>
          <w:rFonts w:eastAsia="仿宋_GB2312" w:hint="eastAsia"/>
          <w:spacing w:val="-2"/>
          <w:sz w:val="32"/>
          <w:szCs w:val="32"/>
        </w:rPr>
        <w:t>防渗漏、防雨淋、防扬尘</w:t>
      </w:r>
      <w:r>
        <w:rPr>
          <w:rFonts w:eastAsia="仿宋_GB2312"/>
          <w:spacing w:val="-2"/>
          <w:sz w:val="32"/>
          <w:szCs w:val="32"/>
        </w:rPr>
        <w:t>”</w:t>
      </w:r>
      <w:r>
        <w:rPr>
          <w:rFonts w:eastAsia="仿宋_GB2312" w:hint="eastAsia"/>
          <w:spacing w:val="-2"/>
          <w:sz w:val="32"/>
          <w:szCs w:val="32"/>
        </w:rPr>
        <w:t>等要求设置；</w:t>
      </w:r>
      <w:proofErr w:type="gramStart"/>
      <w:r>
        <w:rPr>
          <w:rFonts w:ascii="仿宋_GB2312" w:eastAsia="仿宋_GB2312" w:hAnsi="仿宋_GB2312" w:cs="仿宋_GB2312" w:hint="eastAsia"/>
          <w:spacing w:val="-2"/>
          <w:sz w:val="32"/>
          <w:szCs w:val="32"/>
        </w:rPr>
        <w:t>危废暂存</w:t>
      </w:r>
      <w:proofErr w:type="gramEnd"/>
      <w:r>
        <w:rPr>
          <w:rFonts w:ascii="仿宋_GB2312" w:eastAsia="仿宋_GB2312" w:hAnsi="仿宋_GB2312" w:cs="仿宋_GB2312" w:hint="eastAsia"/>
          <w:spacing w:val="-2"/>
          <w:sz w:val="32"/>
          <w:szCs w:val="32"/>
        </w:rPr>
        <w:t>间（20m</w:t>
      </w:r>
      <w:r>
        <w:rPr>
          <w:rFonts w:ascii="仿宋_GB2312" w:eastAsia="仿宋_GB2312" w:hAnsi="仿宋_GB2312" w:cs="仿宋_GB2312" w:hint="eastAsia"/>
          <w:spacing w:val="-2"/>
          <w:sz w:val="32"/>
          <w:szCs w:val="32"/>
          <w:vertAlign w:val="superscript"/>
        </w:rPr>
        <w:t>2</w:t>
      </w:r>
      <w:r>
        <w:rPr>
          <w:rFonts w:ascii="仿宋_GB2312" w:eastAsia="仿宋_GB2312" w:hAnsi="仿宋_GB2312" w:cs="仿宋_GB2312" w:hint="eastAsia"/>
          <w:spacing w:val="-2"/>
          <w:sz w:val="32"/>
          <w:szCs w:val="32"/>
        </w:rPr>
        <w:t>）按照《危险废物贮存污染控制标准》（GB18597-2023）规范建设；危险废物规范化管理应按照原环境保护部《关于印发危险废物规范化管理指标体系的</w:t>
      </w:r>
      <w:r>
        <w:rPr>
          <w:rFonts w:ascii="仿宋_GB2312" w:eastAsia="仿宋_GB2312" w:hAnsi="仿宋_GB2312" w:cs="仿宋_GB2312" w:hint="eastAsia"/>
          <w:spacing w:val="-2"/>
          <w:sz w:val="32"/>
          <w:szCs w:val="32"/>
        </w:rPr>
        <w:lastRenderedPageBreak/>
        <w:t>通知》（</w:t>
      </w:r>
      <w:proofErr w:type="gramStart"/>
      <w:r>
        <w:rPr>
          <w:rFonts w:ascii="仿宋_GB2312" w:eastAsia="仿宋_GB2312" w:hAnsi="仿宋_GB2312" w:cs="仿宋_GB2312" w:hint="eastAsia"/>
          <w:spacing w:val="-2"/>
          <w:sz w:val="32"/>
          <w:szCs w:val="32"/>
        </w:rPr>
        <w:t>环办〔2015〕</w:t>
      </w:r>
      <w:proofErr w:type="gramEnd"/>
      <w:r>
        <w:rPr>
          <w:rFonts w:ascii="仿宋_GB2312" w:eastAsia="仿宋_GB2312" w:hAnsi="仿宋_GB2312" w:cs="仿宋_GB2312" w:hint="eastAsia"/>
          <w:spacing w:val="-2"/>
          <w:sz w:val="32"/>
          <w:szCs w:val="32"/>
        </w:rPr>
        <w:t>99号）要求强化管理，特别是临时贮存、转运等环节的防治措施。</w:t>
      </w:r>
      <w:r>
        <w:rPr>
          <w:rFonts w:eastAsia="仿宋_GB2312" w:hint="eastAsia"/>
          <w:spacing w:val="-2"/>
          <w:sz w:val="32"/>
          <w:szCs w:val="32"/>
        </w:rPr>
        <w:t>生活垃圾收集后交环卫部门统一处置。</w:t>
      </w:r>
    </w:p>
    <w:p w14:paraId="10604D6C" w14:textId="77777777" w:rsidR="00C275DE" w:rsidRDefault="00000000" w:rsidP="008E401A">
      <w:pPr>
        <w:spacing w:line="540" w:lineRule="exact"/>
        <w:ind w:firstLineChars="200" w:firstLine="632"/>
        <w:rPr>
          <w:rFonts w:eastAsia="仿宋_GB2312"/>
          <w:spacing w:val="-2"/>
          <w:sz w:val="32"/>
          <w:szCs w:val="32"/>
        </w:rPr>
      </w:pPr>
      <w:r>
        <w:rPr>
          <w:rFonts w:eastAsia="仿宋_GB2312" w:hint="eastAsia"/>
          <w:spacing w:val="-2"/>
          <w:sz w:val="32"/>
          <w:szCs w:val="32"/>
        </w:rPr>
        <w:t>四、项目建设和生产过程中应重点做好以下工作：</w:t>
      </w:r>
    </w:p>
    <w:p w14:paraId="5986EF91" w14:textId="77777777" w:rsidR="00C275DE" w:rsidRDefault="00000000" w:rsidP="008E401A">
      <w:pPr>
        <w:overflowPunct w:val="0"/>
        <w:spacing w:line="540" w:lineRule="exact"/>
        <w:ind w:firstLineChars="200" w:firstLine="632"/>
        <w:rPr>
          <w:rFonts w:eastAsia="仿宋_GB2312"/>
          <w:spacing w:val="-2"/>
          <w:sz w:val="32"/>
          <w:szCs w:val="32"/>
        </w:rPr>
      </w:pPr>
      <w:r>
        <w:rPr>
          <w:rFonts w:eastAsia="仿宋_GB2312" w:hint="eastAsia"/>
          <w:spacing w:val="-2"/>
          <w:sz w:val="32"/>
          <w:szCs w:val="32"/>
        </w:rPr>
        <w:t>（一）项目在设计、建设和运行中，应坚持循环经济、清洁生产、绿色有序发展理念，进一步优化工艺路线和设计方案，强化各装置节能降耗措施，进一步减少污染物的产生量和排放量；</w:t>
      </w:r>
      <w:r>
        <w:rPr>
          <w:rFonts w:ascii="仿宋_GB2312" w:eastAsia="仿宋_GB2312" w:hAnsi="仿宋_GB2312" w:cs="仿宋_GB2312" w:hint="eastAsia"/>
          <w:sz w:val="32"/>
          <w:szCs w:val="32"/>
        </w:rPr>
        <w:t>落实生态环境分区管控要求</w:t>
      </w:r>
      <w:r>
        <w:rPr>
          <w:rFonts w:eastAsia="仿宋_GB2312" w:hint="eastAsia"/>
          <w:spacing w:val="-2"/>
          <w:sz w:val="32"/>
          <w:szCs w:val="32"/>
        </w:rPr>
        <w:t>；做好厂区绿化工作。</w:t>
      </w:r>
    </w:p>
    <w:p w14:paraId="28A16485" w14:textId="77777777" w:rsidR="00C275DE" w:rsidRDefault="00000000" w:rsidP="008E401A">
      <w:pPr>
        <w:overflowPunct w:val="0"/>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（二）注重施工期的环境管理。施工期大气污染防治措施应满足《安徽省大气污染防治条例》及《安徽省建筑工程施工扬尘污染防治规定》等要求；施工期颗粒</w:t>
      </w:r>
      <w:proofErr w:type="gramStart"/>
      <w:r>
        <w:rPr>
          <w:rFonts w:ascii="仿宋_GB2312" w:eastAsia="仿宋_GB2312" w:hAnsi="仿宋_GB2312" w:cs="仿宋_GB2312" w:hint="eastAsia"/>
          <w:sz w:val="32"/>
          <w:szCs w:val="32"/>
        </w:rPr>
        <w:t>物执行</w:t>
      </w:r>
      <w:proofErr w:type="gramEnd"/>
      <w:r>
        <w:rPr>
          <w:rFonts w:ascii="仿宋_GB2312" w:eastAsia="仿宋_GB2312" w:hAnsi="仿宋_GB2312" w:cs="仿宋_GB2312" w:hint="eastAsia"/>
          <w:sz w:val="32"/>
          <w:szCs w:val="32"/>
        </w:rPr>
        <w:t>《施工场地颗粒物排放标准》（DB34/4811-2024）中要求；施工期环境噪声应满足《建筑施工场界环境噪声排放标准》规定的要求；建筑垃圾应分类处理，尽可能回收利用；落实生活垃圾分类收集制度。</w:t>
      </w:r>
    </w:p>
    <w:p w14:paraId="529A09CC" w14:textId="77777777" w:rsidR="00C275DE" w:rsidRDefault="00000000" w:rsidP="008E401A">
      <w:pPr>
        <w:overflowPunct w:val="0"/>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加强项目日常环境管理和环境风险防范。公司应建立健全包括环境风险预防在内的各项生态环境保护规章制度，设置环保管理机构，落实专职环保技术人员并加强能力培训；强化污染防治设施日常运行管理，规范设置排污口；污染防治设施运行记录应真实、有效、及时；按照规范制定企业自行监测方案，配备必要的环境监测仪器设备或委托有资质单位开展自行监测；定期发布企业环境信息并主动接受社会监督；加强各类原辅材料运输、贮存、使用过程中的管理；</w:t>
      </w:r>
      <w:r>
        <w:rPr>
          <w:rFonts w:ascii="仿宋_GB2312" w:eastAsia="仿宋_GB2312" w:hAnsi="仿宋" w:cs="仿宋" w:hint="eastAsia"/>
          <w:bCs/>
          <w:spacing w:val="-2"/>
          <w:sz w:val="32"/>
          <w:szCs w:val="32"/>
        </w:rPr>
        <w:t>设置事故废水切换截断装置，并与事故应急池（新建，有效容积不低于250m</w:t>
      </w:r>
      <w:r>
        <w:rPr>
          <w:rFonts w:ascii="仿宋_GB2312" w:eastAsia="仿宋_GB2312" w:hAnsi="仿宋" w:cs="仿宋" w:hint="eastAsia"/>
          <w:bCs/>
          <w:spacing w:val="-2"/>
          <w:sz w:val="32"/>
          <w:szCs w:val="32"/>
          <w:vertAlign w:val="superscript"/>
        </w:rPr>
        <w:t>3</w:t>
      </w:r>
      <w:r>
        <w:rPr>
          <w:rFonts w:ascii="仿宋_GB2312" w:eastAsia="仿宋_GB2312" w:hAnsi="仿宋" w:cs="仿宋" w:hint="eastAsia"/>
          <w:bCs/>
          <w:spacing w:val="-2"/>
          <w:sz w:val="32"/>
          <w:szCs w:val="32"/>
        </w:rPr>
        <w:t>）联接，确保发生事故时，事故废水不进入地表和水体</w:t>
      </w:r>
      <w:r>
        <w:rPr>
          <w:rFonts w:ascii="仿宋_GB2312" w:eastAsia="仿宋_GB2312" w:hAnsi="仿宋_GB2312" w:cs="仿宋_GB2312" w:hint="eastAsia"/>
          <w:sz w:val="32"/>
          <w:szCs w:val="32"/>
        </w:rPr>
        <w:t>。</w:t>
      </w:r>
    </w:p>
    <w:p w14:paraId="3812D912" w14:textId="77777777" w:rsidR="00C275DE" w:rsidRDefault="00000000" w:rsidP="008E401A">
      <w:pPr>
        <w:pStyle w:val="10"/>
        <w:adjustRightInd/>
        <w:snapToGrid/>
        <w:spacing w:line="540" w:lineRule="exact"/>
        <w:ind w:firstLineChars="200" w:firstLine="632"/>
        <w:rPr>
          <w:rFonts w:ascii="Times New Roman" w:eastAsia="仿宋_GB2312" w:hAnsi="Times New Roman"/>
          <w:spacing w:val="-2"/>
          <w:kern w:val="2"/>
          <w:sz w:val="32"/>
          <w:szCs w:val="32"/>
        </w:rPr>
      </w:pPr>
      <w:r>
        <w:rPr>
          <w:rFonts w:ascii="Times New Roman" w:eastAsia="仿宋_GB2312" w:hAnsi="Times New Roman" w:hint="eastAsia"/>
          <w:spacing w:val="-2"/>
          <w:sz w:val="32"/>
          <w:szCs w:val="32"/>
        </w:rPr>
        <w:lastRenderedPageBreak/>
        <w:t>（四）</w:t>
      </w:r>
      <w:r>
        <w:rPr>
          <w:rFonts w:ascii="Times New Roman" w:eastAsia="仿宋_GB2312" w:hAnsi="Times New Roman" w:hint="eastAsia"/>
          <w:spacing w:val="-2"/>
          <w:kern w:val="2"/>
          <w:sz w:val="32"/>
          <w:szCs w:val="32"/>
        </w:rPr>
        <w:t>加强地下水和土壤环境污染防控。按分区防渗原则，加强地下水污染防控。严格落实</w:t>
      </w:r>
      <w:proofErr w:type="gramStart"/>
      <w:r>
        <w:rPr>
          <w:rFonts w:ascii="Times New Roman" w:eastAsia="仿宋_GB2312" w:hAnsi="Times New Roman" w:hint="eastAsia"/>
          <w:spacing w:val="-2"/>
          <w:kern w:val="2"/>
          <w:sz w:val="32"/>
          <w:szCs w:val="32"/>
        </w:rPr>
        <w:t>厂区建</w:t>
      </w:r>
      <w:proofErr w:type="gramEnd"/>
      <w:r>
        <w:rPr>
          <w:rFonts w:ascii="Times New Roman" w:eastAsia="仿宋_GB2312" w:hAnsi="Times New Roman" w:hint="eastAsia"/>
          <w:spacing w:val="-2"/>
          <w:kern w:val="2"/>
          <w:sz w:val="32"/>
          <w:szCs w:val="32"/>
        </w:rPr>
        <w:t>构筑物防渗措施，特别是可能因渗漏对地下水水质产生影响场所的防渗措施，避免对地下水水质产生影响。</w:t>
      </w:r>
    </w:p>
    <w:p w14:paraId="461E46B4" w14:textId="3BA96AF5" w:rsidR="00C275DE" w:rsidRDefault="00000000" w:rsidP="008E401A">
      <w:pPr>
        <w:spacing w:line="54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（五）</w:t>
      </w:r>
      <w:r w:rsidR="00BB654F">
        <w:rPr>
          <w:rFonts w:ascii="仿宋_GB2312" w:eastAsia="仿宋_GB2312" w:hAnsi="仿宋_GB2312" w:cs="仿宋_GB2312" w:hint="eastAsia"/>
          <w:sz w:val="32"/>
          <w:szCs w:val="32"/>
        </w:rPr>
        <w:t>严格落实环境防护距离和总量控制要求</w:t>
      </w:r>
      <w:r>
        <w:rPr>
          <w:rFonts w:ascii="仿宋_GB2312" w:eastAsia="仿宋_GB2312" w:hAnsi="仿宋_GB2312" w:cs="仿宋_GB2312" w:hint="eastAsia"/>
          <w:spacing w:val="-2"/>
          <w:sz w:val="32"/>
          <w:szCs w:val="32"/>
        </w:rPr>
        <w:t>。</w:t>
      </w:r>
      <w:r w:rsidR="00BB654F">
        <w:rPr>
          <w:rFonts w:ascii="仿宋_GB2312" w:eastAsia="仿宋_GB2312" w:hAnsi="仿宋_GB2312" w:cs="仿宋_GB2312" w:hint="eastAsia"/>
          <w:sz w:val="32"/>
          <w:szCs w:val="32"/>
        </w:rPr>
        <w:t>（1）依据《报告表》的分析和建议，项目建成后以厂界设置100米环境防护距离，</w:t>
      </w:r>
      <w:r w:rsidR="00BF65A9" w:rsidRPr="00BF65A9">
        <w:rPr>
          <w:rFonts w:ascii="仿宋_GB2312" w:eastAsia="仿宋_GB2312" w:hAnsi="仿宋_GB2312" w:cs="仿宋_GB2312" w:hint="eastAsia"/>
          <w:spacing w:val="-2"/>
          <w:sz w:val="32"/>
          <w:szCs w:val="32"/>
        </w:rPr>
        <w:t>在环境防护距离内不得规划建设居住区、学校、医院、文化区等敏感区域。</w:t>
      </w:r>
      <w:r w:rsidR="00BB654F">
        <w:rPr>
          <w:rFonts w:ascii="仿宋_GB2312" w:eastAsia="仿宋_GB2312" w:hAnsi="仿宋_GB2312" w:cs="仿宋_GB2312" w:hint="eastAsia"/>
          <w:spacing w:val="-2"/>
          <w:sz w:val="32"/>
          <w:szCs w:val="32"/>
        </w:rPr>
        <w:t>（2）</w:t>
      </w:r>
      <w:r>
        <w:rPr>
          <w:rFonts w:ascii="仿宋_GB2312" w:eastAsia="仿宋_GB2312" w:hAnsi="仿宋_GB2312" w:cs="仿宋_GB2312" w:hint="eastAsia"/>
          <w:spacing w:val="-2"/>
          <w:sz w:val="32"/>
          <w:szCs w:val="32"/>
        </w:rPr>
        <w:t>项目在落实《报告表》提出的污染防治措施后</w:t>
      </w:r>
      <w:r w:rsidR="00BB654F">
        <w:rPr>
          <w:rFonts w:ascii="仿宋_GB2312" w:eastAsia="仿宋_GB2312" w:hAnsi="仿宋_GB2312" w:cs="仿宋_GB2312" w:hint="eastAsia"/>
          <w:spacing w:val="-2"/>
          <w:sz w:val="32"/>
          <w:szCs w:val="32"/>
        </w:rPr>
        <w:t>，</w:t>
      </w:r>
      <w:r>
        <w:rPr>
          <w:rFonts w:ascii="仿宋_GB2312" w:eastAsia="仿宋_GB2312" w:hAnsi="仿宋_GB2312" w:cs="仿宋_GB2312" w:hint="eastAsia"/>
          <w:spacing w:val="-2"/>
          <w:sz w:val="32"/>
          <w:szCs w:val="32"/>
        </w:rPr>
        <w:t>烟粉尘排放量不得超过0.594t/a，SO</w:t>
      </w:r>
      <w:r w:rsidRPr="00BB654F">
        <w:rPr>
          <w:rFonts w:ascii="仿宋_GB2312" w:eastAsia="仿宋_GB2312" w:hAnsi="仿宋_GB2312" w:cs="仿宋_GB2312" w:hint="eastAsia"/>
          <w:spacing w:val="-2"/>
          <w:sz w:val="32"/>
          <w:szCs w:val="32"/>
          <w:vertAlign w:val="subscript"/>
        </w:rPr>
        <w:t>2</w:t>
      </w:r>
      <w:r>
        <w:rPr>
          <w:rFonts w:ascii="仿宋_GB2312" w:eastAsia="仿宋_GB2312" w:hAnsi="仿宋_GB2312" w:cs="仿宋_GB2312" w:hint="eastAsia"/>
          <w:spacing w:val="-2"/>
          <w:sz w:val="32"/>
          <w:szCs w:val="32"/>
        </w:rPr>
        <w:t>排放量不得超过0.158t/a，NOx排放量不得超过1.257t/a；废水污染物中COD的排放总量和NH</w:t>
      </w:r>
      <w:r w:rsidRPr="00BB654F">
        <w:rPr>
          <w:rFonts w:ascii="仿宋_GB2312" w:eastAsia="仿宋_GB2312" w:hAnsi="仿宋_GB2312" w:cs="仿宋_GB2312" w:hint="eastAsia"/>
          <w:spacing w:val="-2"/>
          <w:sz w:val="32"/>
          <w:szCs w:val="32"/>
          <w:vertAlign w:val="subscript"/>
        </w:rPr>
        <w:t>3</w:t>
      </w:r>
      <w:r>
        <w:rPr>
          <w:rFonts w:ascii="仿宋_GB2312" w:eastAsia="仿宋_GB2312" w:hAnsi="仿宋_GB2312" w:cs="仿宋_GB2312" w:hint="eastAsia"/>
          <w:spacing w:val="-2"/>
          <w:sz w:val="32"/>
          <w:szCs w:val="32"/>
        </w:rPr>
        <w:t>-N排放总量纳入城东污水处理厂总量统一管理。</w:t>
      </w:r>
    </w:p>
    <w:p w14:paraId="6D78FDC9" w14:textId="4989D224" w:rsidR="00BB654F" w:rsidRPr="00BB654F" w:rsidRDefault="00BB654F" w:rsidP="008E401A">
      <w:pPr>
        <w:overflowPunct w:val="0"/>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color w:val="000000"/>
          <w:sz w:val="32"/>
          <w:szCs w:val="32"/>
        </w:rPr>
        <w:t>（六）加强重点环保设备设施安全生产管理。粉尘治理</w:t>
      </w:r>
      <w:r>
        <w:rPr>
          <w:rFonts w:ascii="仿宋_GB2312" w:eastAsia="仿宋_GB2312" w:hAnsi="仿宋_GB2312" w:cs="仿宋_GB2312" w:hint="eastAsia"/>
          <w:sz w:val="32"/>
          <w:szCs w:val="32"/>
        </w:rPr>
        <w:t>、污水治理等</w:t>
      </w:r>
      <w:r>
        <w:rPr>
          <w:rFonts w:ascii="仿宋_GB2312" w:eastAsia="仿宋_GB2312" w:hAnsi="仿宋_GB2312" w:cs="仿宋_GB2312" w:hint="eastAsia"/>
          <w:color w:val="000000"/>
          <w:sz w:val="32"/>
          <w:szCs w:val="32"/>
        </w:rPr>
        <w:t>环保设备设施启动、停运、检修或改（扩）建时，严格落实安全生产相关要求。</w:t>
      </w:r>
    </w:p>
    <w:p w14:paraId="04075DF6" w14:textId="1BB91C4C" w:rsidR="00C275DE" w:rsidRDefault="00000000" w:rsidP="008E401A">
      <w:pPr>
        <w:spacing w:line="540" w:lineRule="exact"/>
        <w:ind w:firstLineChars="200" w:firstLine="632"/>
        <w:rPr>
          <w:rFonts w:eastAsia="仿宋_GB2312"/>
          <w:spacing w:val="-2"/>
          <w:sz w:val="32"/>
          <w:szCs w:val="32"/>
        </w:rPr>
      </w:pPr>
      <w:r>
        <w:rPr>
          <w:rFonts w:eastAsia="仿宋_GB2312" w:hint="eastAsia"/>
          <w:spacing w:val="-2"/>
          <w:sz w:val="32"/>
          <w:szCs w:val="32"/>
        </w:rPr>
        <w:t>（</w:t>
      </w:r>
      <w:r w:rsidR="00BB654F">
        <w:rPr>
          <w:rFonts w:eastAsia="仿宋_GB2312" w:hint="eastAsia"/>
          <w:spacing w:val="-2"/>
          <w:sz w:val="32"/>
          <w:szCs w:val="32"/>
        </w:rPr>
        <w:t>七</w:t>
      </w:r>
      <w:r>
        <w:rPr>
          <w:rFonts w:eastAsia="仿宋_GB2312" w:hint="eastAsia"/>
          <w:spacing w:val="-2"/>
          <w:sz w:val="32"/>
          <w:szCs w:val="32"/>
        </w:rPr>
        <w:t>）</w:t>
      </w:r>
      <w:proofErr w:type="gramStart"/>
      <w:r>
        <w:rPr>
          <w:rFonts w:eastAsia="仿宋_GB2312" w:hint="eastAsia"/>
          <w:spacing w:val="-2"/>
          <w:sz w:val="32"/>
          <w:szCs w:val="32"/>
        </w:rPr>
        <w:t>若项目的</w:t>
      </w:r>
      <w:proofErr w:type="gramEnd"/>
      <w:r>
        <w:rPr>
          <w:rFonts w:eastAsia="仿宋_GB2312" w:hint="eastAsia"/>
          <w:spacing w:val="-2"/>
          <w:sz w:val="32"/>
          <w:szCs w:val="32"/>
        </w:rPr>
        <w:t>性质、地点、规模、生产工艺或污染防治措施等发生重大变动的，应当重新报批</w:t>
      </w:r>
      <w:proofErr w:type="gramStart"/>
      <w:r>
        <w:rPr>
          <w:rFonts w:eastAsia="仿宋_GB2312" w:hint="eastAsia"/>
          <w:spacing w:val="-2"/>
          <w:sz w:val="32"/>
          <w:szCs w:val="32"/>
        </w:rPr>
        <w:t>项目环</w:t>
      </w:r>
      <w:proofErr w:type="gramEnd"/>
      <w:r>
        <w:rPr>
          <w:rFonts w:eastAsia="仿宋_GB2312" w:hint="eastAsia"/>
          <w:spacing w:val="-2"/>
          <w:sz w:val="32"/>
          <w:szCs w:val="32"/>
        </w:rPr>
        <w:t>评文件。</w:t>
      </w:r>
      <w:proofErr w:type="gramStart"/>
      <w:r>
        <w:rPr>
          <w:rFonts w:eastAsia="仿宋_GB2312" w:hint="eastAsia"/>
          <w:spacing w:val="-2"/>
          <w:sz w:val="32"/>
          <w:szCs w:val="32"/>
        </w:rPr>
        <w:t>项目环评文件</w:t>
      </w:r>
      <w:proofErr w:type="gramEnd"/>
      <w:r>
        <w:rPr>
          <w:rFonts w:eastAsia="仿宋_GB2312" w:hint="eastAsia"/>
          <w:spacing w:val="-2"/>
          <w:sz w:val="32"/>
          <w:szCs w:val="32"/>
        </w:rPr>
        <w:t>自批复之日起，如超过</w:t>
      </w:r>
      <w:r>
        <w:rPr>
          <w:rFonts w:eastAsia="仿宋_GB2312"/>
          <w:spacing w:val="-2"/>
          <w:sz w:val="32"/>
          <w:szCs w:val="32"/>
        </w:rPr>
        <w:t>5</w:t>
      </w:r>
      <w:r>
        <w:rPr>
          <w:rFonts w:eastAsia="仿宋_GB2312" w:hint="eastAsia"/>
          <w:spacing w:val="-2"/>
          <w:sz w:val="32"/>
          <w:szCs w:val="32"/>
        </w:rPr>
        <w:t>年方决定开工建设的，环</w:t>
      </w:r>
      <w:proofErr w:type="gramStart"/>
      <w:r>
        <w:rPr>
          <w:rFonts w:eastAsia="仿宋_GB2312" w:hint="eastAsia"/>
          <w:spacing w:val="-2"/>
          <w:sz w:val="32"/>
          <w:szCs w:val="32"/>
        </w:rPr>
        <w:t>评文件</w:t>
      </w:r>
      <w:proofErr w:type="gramEnd"/>
      <w:r>
        <w:rPr>
          <w:rFonts w:eastAsia="仿宋_GB2312" w:hint="eastAsia"/>
          <w:spacing w:val="-2"/>
          <w:sz w:val="32"/>
          <w:szCs w:val="32"/>
        </w:rPr>
        <w:t>应当重新审核。</w:t>
      </w:r>
    </w:p>
    <w:p w14:paraId="29AC6250" w14:textId="57F75552" w:rsidR="00C275DE" w:rsidRDefault="00000000" w:rsidP="008E401A">
      <w:pPr>
        <w:spacing w:line="540" w:lineRule="exact"/>
        <w:ind w:firstLineChars="200" w:firstLine="632"/>
        <w:rPr>
          <w:rFonts w:eastAsia="仿宋_GB2312"/>
          <w:spacing w:val="-2"/>
          <w:sz w:val="32"/>
          <w:szCs w:val="32"/>
        </w:rPr>
      </w:pPr>
      <w:r>
        <w:rPr>
          <w:rFonts w:eastAsia="仿宋_GB2312" w:hint="eastAsia"/>
          <w:spacing w:val="-2"/>
          <w:sz w:val="32"/>
          <w:szCs w:val="32"/>
        </w:rPr>
        <w:t>（</w:t>
      </w:r>
      <w:r w:rsidR="00BB654F">
        <w:rPr>
          <w:rFonts w:eastAsia="仿宋_GB2312" w:hint="eastAsia"/>
          <w:spacing w:val="-2"/>
          <w:sz w:val="32"/>
          <w:szCs w:val="32"/>
        </w:rPr>
        <w:t>八</w:t>
      </w:r>
      <w:r>
        <w:rPr>
          <w:rFonts w:eastAsia="仿宋_GB2312" w:hint="eastAsia"/>
          <w:spacing w:val="-2"/>
          <w:sz w:val="32"/>
          <w:szCs w:val="32"/>
        </w:rPr>
        <w:t>）按照《排污许可管理条例》、</w:t>
      </w:r>
      <w:r>
        <w:rPr>
          <w:rFonts w:ascii="仿宋_GB2312" w:eastAsia="仿宋_GB2312" w:hAnsi="仿宋_GB2312" w:cs="仿宋_GB2312" w:hint="eastAsia"/>
          <w:sz w:val="32"/>
          <w:szCs w:val="32"/>
        </w:rPr>
        <w:t>《排污许可管理条例》</w:t>
      </w:r>
      <w:r>
        <w:rPr>
          <w:rFonts w:eastAsia="仿宋_GB2312" w:hint="eastAsia"/>
          <w:spacing w:val="-2"/>
          <w:sz w:val="32"/>
          <w:szCs w:val="32"/>
        </w:rPr>
        <w:t>和《固定污染源排污许可分类管理名录》规定的相关要求申请办理《排污许可证》，将《报告表》中各项环境保护措施、污染物排放清单及其他有关内容载入排污许可证；项目未取得《排污许可证》前不得投入试生产或试运行。</w:t>
      </w:r>
    </w:p>
    <w:p w14:paraId="39B84D1D" w14:textId="2F1DE0AF" w:rsidR="00C275DE" w:rsidRDefault="00000000" w:rsidP="008E401A">
      <w:pPr>
        <w:spacing w:line="540" w:lineRule="exact"/>
        <w:ind w:firstLineChars="200" w:firstLine="632"/>
        <w:rPr>
          <w:rFonts w:eastAsia="仿宋_GB2312"/>
          <w:spacing w:val="-2"/>
          <w:sz w:val="32"/>
          <w:szCs w:val="32"/>
        </w:rPr>
      </w:pPr>
      <w:r>
        <w:rPr>
          <w:rFonts w:eastAsia="仿宋_GB2312" w:hint="eastAsia"/>
          <w:spacing w:val="-2"/>
          <w:sz w:val="32"/>
          <w:szCs w:val="32"/>
        </w:rPr>
        <w:lastRenderedPageBreak/>
        <w:t>（</w:t>
      </w:r>
      <w:r w:rsidR="00BB654F">
        <w:rPr>
          <w:rFonts w:eastAsia="仿宋_GB2312" w:hint="eastAsia"/>
          <w:spacing w:val="-2"/>
          <w:sz w:val="32"/>
          <w:szCs w:val="32"/>
        </w:rPr>
        <w:t>九</w:t>
      </w:r>
      <w:r>
        <w:rPr>
          <w:rFonts w:eastAsia="仿宋_GB2312" w:hint="eastAsia"/>
          <w:spacing w:val="-2"/>
          <w:sz w:val="32"/>
          <w:szCs w:val="32"/>
        </w:rPr>
        <w:t>）项目建设应严格执行环境保护设施与主体工程同时设计、同时施工、同时投产使用的环境保护</w:t>
      </w:r>
      <w:r>
        <w:rPr>
          <w:rFonts w:eastAsia="仿宋_GB2312"/>
          <w:spacing w:val="-2"/>
          <w:sz w:val="32"/>
          <w:szCs w:val="32"/>
        </w:rPr>
        <w:t>“</w:t>
      </w:r>
      <w:r>
        <w:rPr>
          <w:rFonts w:eastAsia="仿宋_GB2312" w:hint="eastAsia"/>
          <w:spacing w:val="-2"/>
          <w:sz w:val="32"/>
          <w:szCs w:val="32"/>
        </w:rPr>
        <w:t>三同时</w:t>
      </w:r>
      <w:r>
        <w:rPr>
          <w:rFonts w:eastAsia="仿宋_GB2312"/>
          <w:spacing w:val="-2"/>
          <w:sz w:val="32"/>
          <w:szCs w:val="32"/>
        </w:rPr>
        <w:t>”</w:t>
      </w:r>
      <w:r>
        <w:rPr>
          <w:rFonts w:eastAsia="仿宋_GB2312" w:hint="eastAsia"/>
          <w:spacing w:val="-2"/>
          <w:sz w:val="32"/>
          <w:szCs w:val="32"/>
        </w:rPr>
        <w:t>制度；项目建成投入试生产或试运行前应及时告知我局；正式投入生产（运行）前应按照规定开展环境保护设施验收，验收合格后，项目方可正式投入生产（运行）。</w:t>
      </w:r>
    </w:p>
    <w:p w14:paraId="28416301" w14:textId="77777777" w:rsidR="00F76D67" w:rsidRPr="00F76D67" w:rsidRDefault="00F76D67" w:rsidP="00F76D67">
      <w:pPr>
        <w:pStyle w:val="a0"/>
      </w:pPr>
    </w:p>
    <w:p w14:paraId="17277BC9" w14:textId="77777777" w:rsidR="008E401A" w:rsidRDefault="008E401A">
      <w:pPr>
        <w:spacing w:line="620" w:lineRule="exact"/>
        <w:jc w:val="right"/>
        <w:rPr>
          <w:rFonts w:ascii="仿宋_GB2312" w:eastAsia="仿宋_GB2312" w:hAnsi="仿宋_GB2312" w:cs="仿宋_GB2312"/>
          <w:spacing w:val="-2"/>
          <w:sz w:val="32"/>
          <w:szCs w:val="32"/>
        </w:rPr>
      </w:pPr>
    </w:p>
    <w:p w14:paraId="6EB6EAA6" w14:textId="77777777" w:rsidR="008E401A" w:rsidRDefault="008E401A">
      <w:pPr>
        <w:spacing w:line="620" w:lineRule="exact"/>
        <w:jc w:val="right"/>
        <w:rPr>
          <w:rFonts w:ascii="仿宋_GB2312" w:eastAsia="仿宋_GB2312" w:hAnsi="仿宋_GB2312" w:cs="仿宋_GB2312"/>
          <w:spacing w:val="-2"/>
          <w:sz w:val="32"/>
          <w:szCs w:val="32"/>
        </w:rPr>
      </w:pPr>
    </w:p>
    <w:p w14:paraId="6E7323BB" w14:textId="60C48889" w:rsidR="00C275DE" w:rsidRDefault="00000000">
      <w:pPr>
        <w:spacing w:line="620" w:lineRule="exact"/>
        <w:jc w:val="right"/>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池州经济技术开发区生态环境局</w:t>
      </w:r>
    </w:p>
    <w:p w14:paraId="57067E08" w14:textId="32A699CE" w:rsidR="00F76D67" w:rsidRDefault="00000000" w:rsidP="00F76D67">
      <w:pPr>
        <w:spacing w:line="620" w:lineRule="exact"/>
        <w:ind w:firstLineChars="1700" w:firstLine="537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2024年</w:t>
      </w:r>
      <w:r w:rsidR="003A04D7">
        <w:rPr>
          <w:rFonts w:ascii="仿宋_GB2312" w:eastAsia="仿宋_GB2312" w:hAnsi="仿宋_GB2312" w:cs="仿宋_GB2312"/>
          <w:spacing w:val="-2"/>
          <w:sz w:val="32"/>
          <w:szCs w:val="32"/>
        </w:rPr>
        <w:t>11</w:t>
      </w:r>
      <w:r>
        <w:rPr>
          <w:rFonts w:ascii="仿宋_GB2312" w:eastAsia="仿宋_GB2312" w:hAnsi="仿宋_GB2312" w:cs="仿宋_GB2312" w:hint="eastAsia"/>
          <w:spacing w:val="-2"/>
          <w:sz w:val="32"/>
          <w:szCs w:val="32"/>
        </w:rPr>
        <w:t>月</w:t>
      </w:r>
      <w:r w:rsidR="003A04D7">
        <w:rPr>
          <w:rFonts w:ascii="仿宋_GB2312" w:eastAsia="仿宋_GB2312" w:hAnsi="仿宋_GB2312" w:cs="仿宋_GB2312"/>
          <w:spacing w:val="-2"/>
          <w:sz w:val="32"/>
          <w:szCs w:val="32"/>
        </w:rPr>
        <w:t>7</w:t>
      </w:r>
      <w:r>
        <w:rPr>
          <w:rFonts w:ascii="仿宋_GB2312" w:eastAsia="仿宋_GB2312" w:hAnsi="仿宋_GB2312" w:cs="仿宋_GB2312" w:hint="eastAsia"/>
          <w:spacing w:val="-2"/>
          <w:sz w:val="32"/>
          <w:szCs w:val="32"/>
        </w:rPr>
        <w:t>日</w:t>
      </w:r>
    </w:p>
    <w:p w14:paraId="1E60B849" w14:textId="77777777" w:rsidR="008E401A" w:rsidRPr="008E401A" w:rsidRDefault="008E401A" w:rsidP="008E401A">
      <w:pPr>
        <w:pStyle w:val="a0"/>
      </w:pPr>
    </w:p>
    <w:p w14:paraId="52CD98D5" w14:textId="4E2E30CC" w:rsidR="00C275DE" w:rsidRDefault="00C275DE">
      <w:pPr>
        <w:pStyle w:val="Default"/>
        <w:rPr>
          <w:rFonts w:ascii="Times New Roman" w:eastAsiaTheme="minorEastAsia" w:cs="Times New Roman"/>
          <w:color w:val="auto"/>
        </w:rPr>
      </w:pPr>
    </w:p>
    <w:p w14:paraId="5D12EB88" w14:textId="39E2B00D" w:rsidR="008E401A" w:rsidRDefault="008E401A">
      <w:pPr>
        <w:pStyle w:val="Default"/>
        <w:rPr>
          <w:rFonts w:ascii="Times New Roman" w:eastAsiaTheme="minorEastAsia" w:cs="Times New Roman"/>
          <w:color w:val="auto"/>
        </w:rPr>
      </w:pPr>
    </w:p>
    <w:sectPr w:rsidR="008E401A">
      <w:headerReference w:type="default" r:id="rId8"/>
      <w:footerReference w:type="even" r:id="rId9"/>
      <w:footerReference w:type="default" r:id="rId10"/>
      <w:pgSz w:w="11906" w:h="16838"/>
      <w:pgMar w:top="2041" w:right="1474" w:bottom="1588" w:left="1588" w:header="851" w:footer="133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5CE42" w14:textId="77777777" w:rsidR="00202276" w:rsidRDefault="00202276">
      <w:pPr>
        <w:ind w:firstLine="420"/>
      </w:pPr>
      <w:r>
        <w:separator/>
      </w:r>
    </w:p>
    <w:p w14:paraId="09266E0E" w14:textId="77777777" w:rsidR="00202276" w:rsidRDefault="00202276">
      <w:pPr>
        <w:ind w:firstLine="420"/>
      </w:pPr>
    </w:p>
    <w:p w14:paraId="2258CBC8" w14:textId="77777777" w:rsidR="00202276" w:rsidRDefault="00202276"/>
  </w:endnote>
  <w:endnote w:type="continuationSeparator" w:id="0">
    <w:p w14:paraId="4A6E807D" w14:textId="77777777" w:rsidR="00202276" w:rsidRDefault="00202276">
      <w:pPr>
        <w:ind w:firstLine="420"/>
      </w:pPr>
      <w:r>
        <w:continuationSeparator/>
      </w:r>
    </w:p>
    <w:p w14:paraId="0C44115B" w14:textId="77777777" w:rsidR="00202276" w:rsidRDefault="00202276">
      <w:pPr>
        <w:ind w:firstLine="420"/>
      </w:pPr>
    </w:p>
    <w:p w14:paraId="2A5A90A6" w14:textId="77777777" w:rsidR="00202276" w:rsidRDefault="002022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DejaVu Math TeX Gyre">
    <w:panose1 w:val="02000503000000000000"/>
    <w:charset w:val="00"/>
    <w:family w:val="auto"/>
    <w:pitch w:val="variable"/>
    <w:sig w:usb0="A10000EF" w:usb1="4201F9EE" w:usb2="02000000" w:usb3="00000000" w:csb0="00000193"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2218A" w14:textId="24DAD0D2" w:rsidR="00C275DE" w:rsidRDefault="00000000">
    <w:pPr>
      <w:pStyle w:val="aa"/>
      <w:framePr w:wrap="around" w:vAnchor="text" w:hAnchor="margin" w:xAlign="center" w:y="1"/>
      <w:ind w:firstLine="360"/>
      <w:rPr>
        <w:rStyle w:val="ae"/>
      </w:rPr>
    </w:pPr>
    <w:r>
      <w:fldChar w:fldCharType="begin"/>
    </w:r>
    <w:r>
      <w:rPr>
        <w:rStyle w:val="ae"/>
      </w:rPr>
      <w:instrText xml:space="preserve">PAGE  </w:instrText>
    </w:r>
    <w:r>
      <w:fldChar w:fldCharType="end"/>
    </w:r>
  </w:p>
  <w:p w14:paraId="35CD954F" w14:textId="77777777" w:rsidR="00C275DE" w:rsidRDefault="00C275DE">
    <w:pPr>
      <w:pStyle w:val="aa"/>
      <w:ind w:firstLine="360"/>
    </w:pPr>
  </w:p>
  <w:p w14:paraId="2AE5B9F0" w14:textId="77777777" w:rsidR="00C275DE" w:rsidRDefault="00C275DE">
    <w:pPr>
      <w:ind w:firstLine="420"/>
    </w:pPr>
  </w:p>
  <w:p w14:paraId="68BF0AB3" w14:textId="77777777" w:rsidR="00E25EAF" w:rsidRDefault="00E25EAF">
    <w:pPr>
      <w:ind w:firstLine="420"/>
    </w:pPr>
  </w:p>
  <w:p w14:paraId="7F3B5F51" w14:textId="77777777" w:rsidR="00F04D55" w:rsidRDefault="00F04D5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0083E" w14:textId="77777777" w:rsidR="00C275DE" w:rsidRDefault="00000000">
    <w:pPr>
      <w:pStyle w:val="aa"/>
      <w:ind w:firstLine="560"/>
      <w:jc w:val="center"/>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w:instrText>
    </w:r>
    <w:r>
      <w:rPr>
        <w:rFonts w:ascii="宋体" w:hAnsi="宋体"/>
        <w:sz w:val="28"/>
        <w:szCs w:val="28"/>
      </w:rPr>
      <w:fldChar w:fldCharType="separate"/>
    </w:r>
    <w:r>
      <w:rPr>
        <w:rFonts w:ascii="宋体" w:hAnsi="宋体"/>
        <w:sz w:val="28"/>
        <w:szCs w:val="28"/>
      </w:rPr>
      <w:t>5</w:t>
    </w:r>
    <w:r>
      <w:rPr>
        <w:rFonts w:ascii="宋体" w:hAnsi="宋体"/>
        <w:sz w:val="28"/>
        <w:szCs w:val="28"/>
      </w:rPr>
      <w:fldChar w:fldCharType="end"/>
    </w:r>
    <w:r>
      <w:rPr>
        <w:rFonts w:ascii="宋体" w:hAnsi="宋体"/>
        <w:sz w:val="28"/>
        <w:szCs w:val="28"/>
      </w:rPr>
      <w:t xml:space="preserve"> -</w:t>
    </w:r>
  </w:p>
  <w:p w14:paraId="318408C1" w14:textId="77777777" w:rsidR="00F04D55" w:rsidRDefault="00F04D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A6500" w14:textId="77777777" w:rsidR="00202276" w:rsidRDefault="00202276">
      <w:pPr>
        <w:ind w:firstLine="420"/>
      </w:pPr>
      <w:r>
        <w:separator/>
      </w:r>
    </w:p>
    <w:p w14:paraId="0EC185F9" w14:textId="77777777" w:rsidR="00202276" w:rsidRDefault="00202276">
      <w:pPr>
        <w:ind w:firstLine="420"/>
      </w:pPr>
    </w:p>
    <w:p w14:paraId="313D542F" w14:textId="77777777" w:rsidR="00202276" w:rsidRDefault="00202276"/>
  </w:footnote>
  <w:footnote w:type="continuationSeparator" w:id="0">
    <w:p w14:paraId="01418CA0" w14:textId="77777777" w:rsidR="00202276" w:rsidRDefault="00202276">
      <w:pPr>
        <w:ind w:firstLine="420"/>
      </w:pPr>
      <w:r>
        <w:continuationSeparator/>
      </w:r>
    </w:p>
    <w:p w14:paraId="4ABC7A3D" w14:textId="77777777" w:rsidR="00202276" w:rsidRDefault="00202276">
      <w:pPr>
        <w:ind w:firstLine="420"/>
      </w:pPr>
    </w:p>
    <w:p w14:paraId="3BAA6521" w14:textId="77777777" w:rsidR="00202276" w:rsidRDefault="002022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45221" w14:textId="2E0CF6FC" w:rsidR="00C275DE" w:rsidRDefault="00C275DE">
    <w:pPr>
      <w:pStyle w:val="ab"/>
      <w:pBdr>
        <w:bottom w:val="none" w:sz="0" w:space="0" w:color="auto"/>
      </w:pBdr>
      <w:ind w:firstLine="360"/>
    </w:pPr>
  </w:p>
  <w:p w14:paraId="100F6CC5" w14:textId="77777777" w:rsidR="00C275DE" w:rsidRDefault="00C275DE">
    <w:pPr>
      <w:ind w:firstLine="420"/>
    </w:pPr>
  </w:p>
  <w:p w14:paraId="58C8B463" w14:textId="77777777" w:rsidR="00E25EAF" w:rsidRDefault="00E25EAF">
    <w:pPr>
      <w:ind w:firstLine="420"/>
    </w:pPr>
  </w:p>
  <w:p w14:paraId="1D56740D" w14:textId="77777777" w:rsidR="00F04D55" w:rsidRDefault="00F04D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0641036"/>
    <w:lvl w:ilvl="0">
      <w:start w:val="1"/>
      <w:numFmt w:val="decimal"/>
      <w:lvlText w:val="%1."/>
      <w:lvlJc w:val="left"/>
      <w:pPr>
        <w:tabs>
          <w:tab w:val="num" w:pos="2040"/>
        </w:tabs>
        <w:ind w:leftChars="800" w:left="2040" w:hangingChars="200" w:hanging="360"/>
      </w:pPr>
    </w:lvl>
  </w:abstractNum>
  <w:abstractNum w:abstractNumId="1" w15:restartNumberingAfterBreak="0">
    <w:nsid w:val="FFFFFF7D"/>
    <w:multiLevelType w:val="singleLevel"/>
    <w:tmpl w:val="3E84C96E"/>
    <w:lvl w:ilvl="0">
      <w:start w:val="1"/>
      <w:numFmt w:val="decimal"/>
      <w:lvlText w:val="%1."/>
      <w:lvlJc w:val="left"/>
      <w:pPr>
        <w:tabs>
          <w:tab w:val="num" w:pos="1620"/>
        </w:tabs>
        <w:ind w:leftChars="600" w:left="1620" w:hangingChars="200" w:hanging="360"/>
      </w:pPr>
    </w:lvl>
  </w:abstractNum>
  <w:abstractNum w:abstractNumId="2" w15:restartNumberingAfterBreak="0">
    <w:nsid w:val="FFFFFF7E"/>
    <w:multiLevelType w:val="singleLevel"/>
    <w:tmpl w:val="05FC020E"/>
    <w:lvl w:ilvl="0">
      <w:start w:val="1"/>
      <w:numFmt w:val="decimal"/>
      <w:lvlText w:val="%1."/>
      <w:lvlJc w:val="left"/>
      <w:pPr>
        <w:tabs>
          <w:tab w:val="num" w:pos="1200"/>
        </w:tabs>
        <w:ind w:leftChars="400" w:left="1200" w:hangingChars="200" w:hanging="360"/>
      </w:pPr>
    </w:lvl>
  </w:abstractNum>
  <w:abstractNum w:abstractNumId="3" w15:restartNumberingAfterBreak="0">
    <w:nsid w:val="FFFFFF7F"/>
    <w:multiLevelType w:val="singleLevel"/>
    <w:tmpl w:val="890E6DDC"/>
    <w:lvl w:ilvl="0">
      <w:start w:val="1"/>
      <w:numFmt w:val="decimal"/>
      <w:lvlText w:val="%1."/>
      <w:lvlJc w:val="left"/>
      <w:pPr>
        <w:tabs>
          <w:tab w:val="num" w:pos="780"/>
        </w:tabs>
        <w:ind w:leftChars="200" w:left="780" w:hangingChars="200" w:hanging="360"/>
      </w:pPr>
    </w:lvl>
  </w:abstractNum>
  <w:abstractNum w:abstractNumId="4" w15:restartNumberingAfterBreak="0">
    <w:nsid w:val="FFFFFF80"/>
    <w:multiLevelType w:val="singleLevel"/>
    <w:tmpl w:val="410CCE52"/>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32A41796"/>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E020D3C8"/>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4C1AD786"/>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BF7EFF9C"/>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47423BF4"/>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1CE2A314"/>
    <w:multiLevelType w:val="singleLevel"/>
    <w:tmpl w:val="1CE2A314"/>
    <w:lvl w:ilvl="0">
      <w:start w:val="2"/>
      <w:numFmt w:val="chineseCounting"/>
      <w:suff w:val="nothing"/>
      <w:lvlText w:val="（%1）"/>
      <w:lvlJc w:val="left"/>
      <w:rPr>
        <w:rFonts w:hint="eastAsia"/>
      </w:rPr>
    </w:lvl>
  </w:abstractNum>
  <w:num w:numId="1" w16cid:durableId="1708482442">
    <w:abstractNumId w:val="10"/>
  </w:num>
  <w:num w:numId="2" w16cid:durableId="2071265307">
    <w:abstractNumId w:val="8"/>
  </w:num>
  <w:num w:numId="3" w16cid:durableId="1384596369">
    <w:abstractNumId w:val="3"/>
  </w:num>
  <w:num w:numId="4" w16cid:durableId="1490638892">
    <w:abstractNumId w:val="2"/>
  </w:num>
  <w:num w:numId="5" w16cid:durableId="384766173">
    <w:abstractNumId w:val="1"/>
  </w:num>
  <w:num w:numId="6" w16cid:durableId="1933272400">
    <w:abstractNumId w:val="0"/>
  </w:num>
  <w:num w:numId="7" w16cid:durableId="207838641">
    <w:abstractNumId w:val="9"/>
  </w:num>
  <w:num w:numId="8" w16cid:durableId="632759854">
    <w:abstractNumId w:val="7"/>
  </w:num>
  <w:num w:numId="9" w16cid:durableId="149248637">
    <w:abstractNumId w:val="6"/>
  </w:num>
  <w:num w:numId="10" w16cid:durableId="2089306893">
    <w:abstractNumId w:val="5"/>
  </w:num>
  <w:num w:numId="11" w16cid:durableId="19850433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FhNzAyZTE0YWJkMWU4NmVmNjAxZGY1MDI2NjkwNmQifQ=="/>
  </w:docVars>
  <w:rsids>
    <w:rsidRoot w:val="57032A2C"/>
    <w:rsid w:val="000368E5"/>
    <w:rsid w:val="00043175"/>
    <w:rsid w:val="00071D7B"/>
    <w:rsid w:val="000758CC"/>
    <w:rsid w:val="0009430C"/>
    <w:rsid w:val="001A074A"/>
    <w:rsid w:val="001D3AA2"/>
    <w:rsid w:val="00202276"/>
    <w:rsid w:val="002D0732"/>
    <w:rsid w:val="003647D9"/>
    <w:rsid w:val="003718B8"/>
    <w:rsid w:val="003A04D7"/>
    <w:rsid w:val="003F30C6"/>
    <w:rsid w:val="003F344E"/>
    <w:rsid w:val="004264B3"/>
    <w:rsid w:val="004951E8"/>
    <w:rsid w:val="004C3073"/>
    <w:rsid w:val="00536FEE"/>
    <w:rsid w:val="005D7714"/>
    <w:rsid w:val="005E01FD"/>
    <w:rsid w:val="005E2D68"/>
    <w:rsid w:val="006605A3"/>
    <w:rsid w:val="0068578C"/>
    <w:rsid w:val="006D1F52"/>
    <w:rsid w:val="006F3E10"/>
    <w:rsid w:val="007146E8"/>
    <w:rsid w:val="00754BDD"/>
    <w:rsid w:val="007637BD"/>
    <w:rsid w:val="007A089F"/>
    <w:rsid w:val="007A6707"/>
    <w:rsid w:val="0084168D"/>
    <w:rsid w:val="008B2245"/>
    <w:rsid w:val="008C6C96"/>
    <w:rsid w:val="008E401A"/>
    <w:rsid w:val="008F111A"/>
    <w:rsid w:val="00920DE6"/>
    <w:rsid w:val="009512EC"/>
    <w:rsid w:val="00955265"/>
    <w:rsid w:val="009B1A7B"/>
    <w:rsid w:val="009F772B"/>
    <w:rsid w:val="00A5732B"/>
    <w:rsid w:val="00AA0A9F"/>
    <w:rsid w:val="00AB03FC"/>
    <w:rsid w:val="00AB0D56"/>
    <w:rsid w:val="00AE580B"/>
    <w:rsid w:val="00B0683E"/>
    <w:rsid w:val="00B075F0"/>
    <w:rsid w:val="00B40F5C"/>
    <w:rsid w:val="00BB654F"/>
    <w:rsid w:val="00BF65A9"/>
    <w:rsid w:val="00C25A89"/>
    <w:rsid w:val="00C275DE"/>
    <w:rsid w:val="00C474A7"/>
    <w:rsid w:val="00C56413"/>
    <w:rsid w:val="00C77684"/>
    <w:rsid w:val="00C94F81"/>
    <w:rsid w:val="00CA70D7"/>
    <w:rsid w:val="00CB4624"/>
    <w:rsid w:val="00D332BD"/>
    <w:rsid w:val="00D54E1B"/>
    <w:rsid w:val="00D634FD"/>
    <w:rsid w:val="00DA43C6"/>
    <w:rsid w:val="00E25EAF"/>
    <w:rsid w:val="00EA2124"/>
    <w:rsid w:val="00F04D55"/>
    <w:rsid w:val="00F24B77"/>
    <w:rsid w:val="00F25093"/>
    <w:rsid w:val="00F27218"/>
    <w:rsid w:val="00F45E6A"/>
    <w:rsid w:val="00F55DB2"/>
    <w:rsid w:val="00F71A7B"/>
    <w:rsid w:val="00F76D67"/>
    <w:rsid w:val="00FB0C8F"/>
    <w:rsid w:val="00FC044C"/>
    <w:rsid w:val="00FE0912"/>
    <w:rsid w:val="01FE48B0"/>
    <w:rsid w:val="03EC7E52"/>
    <w:rsid w:val="043A4AA6"/>
    <w:rsid w:val="04BD04CB"/>
    <w:rsid w:val="060317A8"/>
    <w:rsid w:val="08626C5A"/>
    <w:rsid w:val="09EF3F49"/>
    <w:rsid w:val="0B59152B"/>
    <w:rsid w:val="1271588F"/>
    <w:rsid w:val="1272443E"/>
    <w:rsid w:val="12A41091"/>
    <w:rsid w:val="13F12998"/>
    <w:rsid w:val="147B0CA2"/>
    <w:rsid w:val="15295D27"/>
    <w:rsid w:val="19B51B03"/>
    <w:rsid w:val="1B1D498F"/>
    <w:rsid w:val="1B5548F4"/>
    <w:rsid w:val="1E200BF1"/>
    <w:rsid w:val="1ED73297"/>
    <w:rsid w:val="1F5F5CC8"/>
    <w:rsid w:val="20491A2F"/>
    <w:rsid w:val="21A04BB6"/>
    <w:rsid w:val="227301D5"/>
    <w:rsid w:val="22C82DF7"/>
    <w:rsid w:val="24D54BFB"/>
    <w:rsid w:val="26FF454B"/>
    <w:rsid w:val="2B5C6F57"/>
    <w:rsid w:val="307062E4"/>
    <w:rsid w:val="33C952B1"/>
    <w:rsid w:val="33D95773"/>
    <w:rsid w:val="34562E26"/>
    <w:rsid w:val="35CC09B5"/>
    <w:rsid w:val="381E3148"/>
    <w:rsid w:val="38E5105E"/>
    <w:rsid w:val="3C380032"/>
    <w:rsid w:val="3FAB1BE6"/>
    <w:rsid w:val="40B530C4"/>
    <w:rsid w:val="44B9324F"/>
    <w:rsid w:val="48B57F74"/>
    <w:rsid w:val="4F244A54"/>
    <w:rsid w:val="54B20C82"/>
    <w:rsid w:val="55160D39"/>
    <w:rsid w:val="56061606"/>
    <w:rsid w:val="56737DF8"/>
    <w:rsid w:val="57032A2C"/>
    <w:rsid w:val="5EEB51E7"/>
    <w:rsid w:val="626D2F9C"/>
    <w:rsid w:val="62E40D72"/>
    <w:rsid w:val="630A5099"/>
    <w:rsid w:val="643A7875"/>
    <w:rsid w:val="651F4760"/>
    <w:rsid w:val="6650370B"/>
    <w:rsid w:val="67957627"/>
    <w:rsid w:val="6C4112C6"/>
    <w:rsid w:val="6E3E4018"/>
    <w:rsid w:val="7032189F"/>
    <w:rsid w:val="709D71F5"/>
    <w:rsid w:val="78210A63"/>
    <w:rsid w:val="7A174C44"/>
    <w:rsid w:val="7C2D7E38"/>
    <w:rsid w:val="7D9A3949"/>
    <w:rsid w:val="7DDB4B14"/>
    <w:rsid w:val="7E8E39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458B12"/>
  <w15:docId w15:val="{9771516B-DEA6-42F4-B3D8-61E1A9A65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semiHidden="1" w:qFormat="1"/>
    <w:lsdException w:name="page number" w:qFormat="1"/>
    <w:lsdException w:name="Title" w:qFormat="1"/>
    <w:lsdException w:name="Default Paragraph Font" w:semiHidden="1" w:uiPriority="1" w:unhideWhenUsed="1" w:qFormat="1"/>
    <w:lsdException w:name="Body Text" w:qFormat="1"/>
    <w:lsdException w:name="Subtitle" w:qFormat="1"/>
    <w:lsdException w:name="Salutation"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autoRedefine/>
    <w:qFormat/>
    <w:pPr>
      <w:keepNext/>
      <w:keepLines/>
      <w:spacing w:line="360" w:lineRule="auto"/>
      <w:jc w:val="center"/>
      <w:outlineLvl w:val="0"/>
    </w:pPr>
    <w:rPr>
      <w:rFonts w:eastAsia="仿宋"/>
      <w:b/>
      <w:kern w:val="44"/>
      <w:sz w:val="36"/>
    </w:rPr>
  </w:style>
  <w:style w:type="paragraph" w:styleId="2">
    <w:name w:val="heading 2"/>
    <w:basedOn w:val="a"/>
    <w:next w:val="a"/>
    <w:autoRedefine/>
    <w:semiHidden/>
    <w:unhideWhenUsed/>
    <w:qFormat/>
    <w:pPr>
      <w:keepNext/>
      <w:keepLines/>
      <w:adjustRightInd w:val="0"/>
      <w:jc w:val="left"/>
      <w:outlineLvl w:val="1"/>
    </w:pPr>
    <w:rPr>
      <w:rFonts w:ascii="Cambria" w:hAnsi="Cambria"/>
      <w:b/>
      <w:sz w:val="30"/>
      <w:lang w:eastAsia="en-US"/>
    </w:rPr>
  </w:style>
  <w:style w:type="paragraph" w:styleId="3">
    <w:name w:val="heading 3"/>
    <w:basedOn w:val="a"/>
    <w:next w:val="a"/>
    <w:autoRedefine/>
    <w:semiHidden/>
    <w:unhideWhenUsed/>
    <w:qFormat/>
    <w:pPr>
      <w:keepNext/>
      <w:keepLines/>
      <w:adjustRightInd w:val="0"/>
      <w:jc w:val="left"/>
      <w:outlineLvl w:val="2"/>
    </w:pPr>
    <w:rPr>
      <w:rFonts w:ascii="Cambria" w:hAnsi="Cambria"/>
      <w:b/>
      <w:sz w:val="28"/>
      <w:lang w:eastAsia="en-US"/>
    </w:rPr>
  </w:style>
  <w:style w:type="paragraph" w:styleId="4">
    <w:name w:val="heading 4"/>
    <w:basedOn w:val="a"/>
    <w:next w:val="a"/>
    <w:autoRedefine/>
    <w:semiHidden/>
    <w:unhideWhenUsed/>
    <w:qFormat/>
    <w:pPr>
      <w:keepNext/>
      <w:keepLines/>
      <w:spacing w:before="280" w:after="290" w:line="372" w:lineRule="auto"/>
      <w:outlineLvl w:val="3"/>
    </w:pPr>
    <w:rPr>
      <w:rFonts w:ascii="Arial" w:eastAsia="黑体" w:hAnsi="Arial"/>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xl27"/>
    <w:link w:val="a4"/>
    <w:autoRedefine/>
    <w:qFormat/>
    <w:pPr>
      <w:spacing w:after="120"/>
    </w:pPr>
  </w:style>
  <w:style w:type="paragraph" w:customStyle="1" w:styleId="xl27">
    <w:name w:val="xl27"/>
    <w:basedOn w:val="a"/>
    <w:next w:val="A5"/>
    <w:autoRedefine/>
    <w:qFormat/>
    <w:pPr>
      <w:widowControl/>
      <w:pBdr>
        <w:bottom w:val="single" w:sz="8" w:space="0" w:color="auto"/>
        <w:right w:val="single" w:sz="8" w:space="0" w:color="auto"/>
      </w:pBdr>
      <w:spacing w:before="100" w:beforeAutospacing="1" w:after="100" w:afterAutospacing="1"/>
      <w:jc w:val="left"/>
      <w:textAlignment w:val="top"/>
    </w:pPr>
    <w:rPr>
      <w:rFonts w:ascii="宋体" w:hAnsi="宋体"/>
      <w:kern w:val="0"/>
      <w:sz w:val="20"/>
      <w:szCs w:val="20"/>
    </w:rPr>
  </w:style>
  <w:style w:type="paragraph" w:customStyle="1" w:styleId="A5">
    <w:name w:val="A正文"/>
    <w:basedOn w:val="a"/>
    <w:autoRedefine/>
    <w:qFormat/>
    <w:rsid w:val="00F76D67"/>
    <w:pPr>
      <w:adjustRightInd w:val="0"/>
      <w:snapToGrid w:val="0"/>
      <w:spacing w:line="360" w:lineRule="auto"/>
      <w:ind w:firstLineChars="200" w:firstLine="480"/>
    </w:pPr>
    <w:rPr>
      <w:kern w:val="0"/>
      <w:sz w:val="24"/>
    </w:rPr>
  </w:style>
  <w:style w:type="paragraph" w:styleId="a6">
    <w:name w:val="annotation text"/>
    <w:basedOn w:val="a"/>
    <w:link w:val="a7"/>
    <w:autoRedefine/>
    <w:qFormat/>
    <w:pPr>
      <w:jc w:val="left"/>
    </w:pPr>
  </w:style>
  <w:style w:type="paragraph" w:styleId="a8">
    <w:name w:val="Salutation"/>
    <w:basedOn w:val="a"/>
    <w:next w:val="a"/>
    <w:autoRedefine/>
    <w:qFormat/>
  </w:style>
  <w:style w:type="paragraph" w:styleId="a9">
    <w:name w:val="Plain Text"/>
    <w:basedOn w:val="a"/>
    <w:next w:val="a8"/>
    <w:autoRedefine/>
    <w:qFormat/>
    <w:pPr>
      <w:jc w:val="center"/>
    </w:pPr>
    <w:rPr>
      <w:rFonts w:ascii="宋体" w:hAnsi="宋体"/>
      <w:szCs w:val="20"/>
      <w:lang w:val="zh-CN"/>
    </w:rPr>
  </w:style>
  <w:style w:type="paragraph" w:styleId="aa">
    <w:name w:val="footer"/>
    <w:basedOn w:val="a"/>
    <w:next w:val="a"/>
    <w:autoRedefine/>
    <w:qFormat/>
    <w:pPr>
      <w:tabs>
        <w:tab w:val="center" w:pos="4153"/>
        <w:tab w:val="right" w:pos="8306"/>
      </w:tabs>
      <w:snapToGrid w:val="0"/>
      <w:jc w:val="left"/>
    </w:pPr>
    <w:rPr>
      <w:sz w:val="18"/>
      <w:szCs w:val="18"/>
    </w:rPr>
  </w:style>
  <w:style w:type="paragraph" w:styleId="ab">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ac">
    <w:name w:val="annotation subject"/>
    <w:basedOn w:val="a6"/>
    <w:next w:val="a6"/>
    <w:link w:val="ad"/>
    <w:autoRedefine/>
    <w:qFormat/>
    <w:rPr>
      <w:b/>
      <w:bCs/>
    </w:rPr>
  </w:style>
  <w:style w:type="character" w:styleId="ae">
    <w:name w:val="page number"/>
    <w:basedOn w:val="a1"/>
    <w:autoRedefine/>
    <w:qFormat/>
  </w:style>
  <w:style w:type="character" w:styleId="af">
    <w:name w:val="annotation reference"/>
    <w:basedOn w:val="a1"/>
    <w:autoRedefine/>
    <w:semiHidden/>
    <w:qFormat/>
    <w:rPr>
      <w:sz w:val="21"/>
    </w:rPr>
  </w:style>
  <w:style w:type="paragraph" w:customStyle="1" w:styleId="af0">
    <w:name w:val="表头"/>
    <w:basedOn w:val="a0"/>
    <w:next w:val="a"/>
    <w:link w:val="Char"/>
    <w:autoRedefine/>
    <w:qFormat/>
    <w:pPr>
      <w:keepNext/>
      <w:snapToGrid w:val="0"/>
      <w:jc w:val="center"/>
    </w:pPr>
    <w:rPr>
      <w:b/>
      <w:szCs w:val="28"/>
      <w:lang w:eastAsia="en-US"/>
    </w:rPr>
  </w:style>
  <w:style w:type="character" w:customStyle="1" w:styleId="Char">
    <w:name w:val="表头 Char"/>
    <w:link w:val="af0"/>
    <w:autoRedefine/>
    <w:qFormat/>
    <w:rPr>
      <w:rFonts w:ascii="Times New Roman" w:eastAsia="仿宋" w:hAnsi="Times New Roman"/>
      <w:b/>
      <w:sz w:val="21"/>
      <w:szCs w:val="28"/>
      <w:lang w:eastAsia="en-US"/>
    </w:rPr>
  </w:style>
  <w:style w:type="paragraph" w:customStyle="1" w:styleId="af1">
    <w:name w:val="表头。"/>
    <w:basedOn w:val="a"/>
    <w:autoRedefine/>
    <w:qFormat/>
    <w:pPr>
      <w:adjustRightInd w:val="0"/>
      <w:snapToGrid w:val="0"/>
      <w:jc w:val="center"/>
    </w:pPr>
    <w:rPr>
      <w:b/>
      <w:kern w:val="0"/>
      <w:szCs w:val="18"/>
    </w:rPr>
  </w:style>
  <w:style w:type="paragraph" w:customStyle="1" w:styleId="af2">
    <w:name w:val="表格"/>
    <w:basedOn w:val="af0"/>
    <w:next w:val="a"/>
    <w:link w:val="Char0"/>
    <w:autoRedefine/>
    <w:qFormat/>
    <w:pPr>
      <w:adjustRightInd w:val="0"/>
      <w:spacing w:beforeLines="10" w:before="10" w:afterLines="10" w:after="10" w:line="259" w:lineRule="auto"/>
    </w:pPr>
    <w:rPr>
      <w:rFonts w:ascii="宋体" w:hAnsi="宋体"/>
      <w:b w:val="0"/>
      <w:kern w:val="0"/>
      <w:szCs w:val="20"/>
    </w:rPr>
  </w:style>
  <w:style w:type="character" w:customStyle="1" w:styleId="Char0">
    <w:name w:val="表格 Char"/>
    <w:link w:val="af2"/>
    <w:autoRedefine/>
    <w:qFormat/>
    <w:locked/>
    <w:rPr>
      <w:rFonts w:ascii="宋体" w:eastAsia="宋体" w:hAnsi="宋体"/>
      <w:sz w:val="21"/>
    </w:rPr>
  </w:style>
  <w:style w:type="paragraph" w:customStyle="1" w:styleId="Default">
    <w:name w:val="Default"/>
    <w:autoRedefine/>
    <w:qFormat/>
    <w:pPr>
      <w:widowControl w:val="0"/>
      <w:autoSpaceDE w:val="0"/>
      <w:autoSpaceDN w:val="0"/>
      <w:adjustRightInd w:val="0"/>
    </w:pPr>
    <w:rPr>
      <w:rFonts w:ascii="DejaVu Math TeX Gyre" w:eastAsia="DejaVu Math TeX Gyre" w:cs="DejaVu Math TeX Gyre"/>
      <w:color w:val="000000"/>
      <w:sz w:val="24"/>
      <w:szCs w:val="24"/>
    </w:rPr>
  </w:style>
  <w:style w:type="character" w:customStyle="1" w:styleId="a4">
    <w:name w:val="正文文本 字符"/>
    <w:basedOn w:val="a1"/>
    <w:link w:val="a0"/>
    <w:autoRedefine/>
    <w:qFormat/>
    <w:rPr>
      <w:rFonts w:ascii="Times New Roman" w:eastAsia="宋体" w:hAnsi="Times New Roman" w:cs="Times New Roman"/>
      <w:kern w:val="2"/>
      <w:sz w:val="21"/>
      <w:szCs w:val="24"/>
    </w:rPr>
  </w:style>
  <w:style w:type="character" w:customStyle="1" w:styleId="a7">
    <w:name w:val="批注文字 字符"/>
    <w:basedOn w:val="a1"/>
    <w:link w:val="a6"/>
    <w:autoRedefine/>
    <w:qFormat/>
    <w:rPr>
      <w:rFonts w:ascii="Times New Roman" w:eastAsia="宋体" w:hAnsi="Times New Roman" w:cs="Times New Roman"/>
      <w:kern w:val="2"/>
      <w:sz w:val="21"/>
      <w:szCs w:val="24"/>
    </w:rPr>
  </w:style>
  <w:style w:type="character" w:customStyle="1" w:styleId="ad">
    <w:name w:val="批注主题 字符"/>
    <w:basedOn w:val="a7"/>
    <w:link w:val="ac"/>
    <w:autoRedefine/>
    <w:qFormat/>
    <w:rPr>
      <w:rFonts w:ascii="Times New Roman" w:eastAsia="宋体" w:hAnsi="Times New Roman" w:cs="Times New Roman"/>
      <w:b/>
      <w:bCs/>
      <w:kern w:val="2"/>
      <w:sz w:val="21"/>
      <w:szCs w:val="24"/>
    </w:rPr>
  </w:style>
  <w:style w:type="paragraph" w:customStyle="1" w:styleId="10">
    <w:name w:val="正文1"/>
    <w:basedOn w:val="a"/>
    <w:autoRedefine/>
    <w:qFormat/>
    <w:pPr>
      <w:adjustRightInd w:val="0"/>
      <w:snapToGrid w:val="0"/>
      <w:spacing w:line="360" w:lineRule="auto"/>
      <w:ind w:firstLine="482"/>
    </w:pPr>
    <w:rPr>
      <w:rFonts w:ascii="宋体" w:hAnsi="宋体"/>
      <w:kern w:val="0"/>
      <w:sz w:val="24"/>
    </w:rPr>
  </w:style>
  <w:style w:type="paragraph" w:styleId="af3">
    <w:name w:val="Date"/>
    <w:basedOn w:val="a"/>
    <w:next w:val="a"/>
    <w:link w:val="af4"/>
    <w:rsid w:val="00F76D67"/>
    <w:pPr>
      <w:ind w:leftChars="2500" w:left="100"/>
    </w:pPr>
  </w:style>
  <w:style w:type="character" w:customStyle="1" w:styleId="af4">
    <w:name w:val="日期 字符"/>
    <w:basedOn w:val="a1"/>
    <w:link w:val="af3"/>
    <w:rsid w:val="00F76D6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161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F91F9-0AE0-4C01-8805-E87081943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Pages>
  <Words>479</Words>
  <Characters>2735</Characters>
  <Application>Microsoft Office Word</Application>
  <DocSecurity>0</DocSecurity>
  <Lines>22</Lines>
  <Paragraphs>6</Paragraphs>
  <ScaleCrop>false</ScaleCrop>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Exit</dc:creator>
  <cp:lastModifiedBy>郑 晓强</cp:lastModifiedBy>
  <cp:revision>23</cp:revision>
  <cp:lastPrinted>2024-11-06T00:28:00Z</cp:lastPrinted>
  <dcterms:created xsi:type="dcterms:W3CDTF">2024-10-24T01:11:00Z</dcterms:created>
  <dcterms:modified xsi:type="dcterms:W3CDTF">2024-11-07T06:44:00Z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743BDA60DC054C29BDED288F665202BA_13</vt:lpwstr>
  </property>
</Properties>
</file>