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52B0" w:rsidRDefault="005948EE">
      <w:pPr>
        <w:jc w:val="center"/>
        <w:rPr>
          <w:rFonts w:ascii="方正小标宋简体" w:eastAsia="方正小标宋简体"/>
          <w:sz w:val="44"/>
          <w:szCs w:val="44"/>
        </w:rPr>
      </w:pPr>
      <w:r>
        <w:rPr>
          <w:rFonts w:ascii="仿宋_GB2312" w:eastAsia="仿宋_GB2312" w:hAnsi="仿宋" w:hint="eastAsia"/>
          <w:sz w:val="32"/>
          <w:szCs w:val="32"/>
        </w:rPr>
        <w:t>池开环审〔</w:t>
      </w:r>
      <w:r>
        <w:rPr>
          <w:rFonts w:ascii="仿宋_GB2312" w:eastAsia="仿宋_GB2312" w:hAnsi="仿宋" w:hint="eastAsia"/>
          <w:sz w:val="32"/>
          <w:szCs w:val="32"/>
        </w:rPr>
        <w:t>2024</w:t>
      </w:r>
      <w:r>
        <w:rPr>
          <w:rFonts w:ascii="仿宋_GB2312" w:eastAsia="仿宋_GB2312" w:hAnsi="仿宋" w:hint="eastAsia"/>
          <w:sz w:val="32"/>
          <w:szCs w:val="32"/>
        </w:rPr>
        <w:t>〕</w:t>
      </w:r>
      <w:r>
        <w:rPr>
          <w:rFonts w:ascii="仿宋_GB2312" w:eastAsia="仿宋_GB2312" w:hAnsi="仿宋" w:hint="eastAsia"/>
          <w:sz w:val="32"/>
          <w:szCs w:val="32"/>
        </w:rPr>
        <w:t>1</w:t>
      </w:r>
      <w:r>
        <w:rPr>
          <w:rFonts w:ascii="仿宋_GB2312" w:eastAsia="仿宋_GB2312" w:hAnsi="仿宋" w:hint="eastAsia"/>
          <w:sz w:val="32"/>
          <w:szCs w:val="32"/>
        </w:rPr>
        <w:t>4</w:t>
      </w:r>
      <w:r>
        <w:rPr>
          <w:rFonts w:ascii="仿宋_GB2312" w:eastAsia="仿宋_GB2312" w:hAnsi="仿宋" w:hint="eastAsia"/>
          <w:sz w:val="32"/>
          <w:szCs w:val="32"/>
        </w:rPr>
        <w:t>号</w:t>
      </w:r>
    </w:p>
    <w:p w:rsidR="00A852B0" w:rsidRDefault="00A852B0"/>
    <w:p w:rsidR="00A852B0" w:rsidRDefault="005948EE">
      <w:pPr>
        <w:spacing w:line="700" w:lineRule="exact"/>
        <w:jc w:val="center"/>
        <w:rPr>
          <w:rFonts w:ascii="方正小标宋简体" w:eastAsia="方正小标宋简体"/>
          <w:sz w:val="44"/>
          <w:szCs w:val="44"/>
        </w:rPr>
      </w:pPr>
      <w:r>
        <w:rPr>
          <w:rFonts w:ascii="方正小标宋简体" w:eastAsia="方正小标宋简体" w:hint="eastAsia"/>
          <w:sz w:val="44"/>
          <w:szCs w:val="44"/>
        </w:rPr>
        <w:t>池州经济技术开发区生态环境局关于</w:t>
      </w:r>
      <w:bookmarkStart w:id="0" w:name="_Hlk78432418"/>
      <w:r>
        <w:rPr>
          <w:rFonts w:ascii="方正小标宋简体" w:eastAsia="方正小标宋简体" w:hint="eastAsia"/>
          <w:sz w:val="44"/>
          <w:szCs w:val="44"/>
        </w:rPr>
        <w:t>安徽精制生物科技有限公司九华黄精生物科技研究院与产业化制造项目环境影响报告表</w:t>
      </w:r>
      <w:bookmarkEnd w:id="0"/>
      <w:r>
        <w:rPr>
          <w:rFonts w:ascii="方正小标宋简体" w:eastAsia="方正小标宋简体" w:hint="eastAsia"/>
          <w:sz w:val="44"/>
          <w:szCs w:val="44"/>
        </w:rPr>
        <w:t>的批复</w:t>
      </w:r>
    </w:p>
    <w:p w:rsidR="00A852B0" w:rsidRDefault="00A852B0"/>
    <w:p w:rsidR="00A852B0" w:rsidRDefault="005948EE">
      <w:pPr>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安徽精制生物科技有限公司：</w:t>
      </w:r>
    </w:p>
    <w:p w:rsidR="00A852B0" w:rsidRDefault="005948EE">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你公司报来的《九华黄精生物科技研究院与产业化制造项目环境影响报告表》（报批本）（以下简称《报告表》）等材料收悉。应你公司申请，我局于</w:t>
      </w:r>
      <w:r>
        <w:rPr>
          <w:rFonts w:ascii="仿宋_GB2312" w:eastAsia="仿宋_GB2312" w:hAnsi="仿宋_GB2312" w:cs="仿宋_GB2312" w:hint="eastAsia"/>
          <w:sz w:val="32"/>
          <w:szCs w:val="32"/>
        </w:rPr>
        <w:t>2</w:t>
      </w:r>
      <w:r>
        <w:rPr>
          <w:rFonts w:ascii="仿宋_GB2312" w:eastAsia="仿宋_GB2312" w:hAnsi="仿宋_GB2312" w:cs="仿宋_GB2312"/>
          <w:sz w:val="32"/>
          <w:szCs w:val="32"/>
        </w:rPr>
        <w:t>024</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9</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6</w:t>
      </w:r>
      <w:r>
        <w:rPr>
          <w:rFonts w:ascii="仿宋_GB2312" w:eastAsia="仿宋_GB2312" w:hAnsi="仿宋_GB2312" w:cs="仿宋_GB2312" w:hint="eastAsia"/>
          <w:sz w:val="32"/>
          <w:szCs w:val="32"/>
        </w:rPr>
        <w:t>日组织专家对《报告表》进行了技术审查，经局专题会议研究通过并公示，现批复如下</w:t>
      </w:r>
      <w:r>
        <w:rPr>
          <w:rFonts w:ascii="仿宋_GB2312" w:eastAsia="仿宋_GB2312" w:hAnsi="仿宋_GB2312" w:cs="仿宋_GB2312" w:hint="eastAsia"/>
          <w:spacing w:val="-2"/>
          <w:sz w:val="32"/>
          <w:szCs w:val="32"/>
        </w:rPr>
        <w:t>：</w:t>
      </w:r>
    </w:p>
    <w:p w:rsidR="00A852B0" w:rsidRDefault="005948EE">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一、项目概况。安徽精制生物科技有限公司九华黄精生物科技研究院与</w:t>
      </w:r>
      <w:r>
        <w:rPr>
          <w:rFonts w:ascii="仿宋_GB2312" w:eastAsia="仿宋_GB2312" w:hAnsi="仿宋_GB2312" w:cs="仿宋_GB2312" w:hint="eastAsia"/>
          <w:sz w:val="32"/>
          <w:szCs w:val="32"/>
        </w:rPr>
        <w:t>产业化制造项目位于安徽省池州市经济技术开发区金光大道</w:t>
      </w:r>
      <w:r>
        <w:rPr>
          <w:rFonts w:ascii="仿宋_GB2312" w:eastAsia="仿宋_GB2312" w:hAnsi="仿宋_GB2312" w:cs="仿宋_GB2312" w:hint="eastAsia"/>
          <w:sz w:val="32"/>
          <w:szCs w:val="32"/>
        </w:rPr>
        <w:t>38</w:t>
      </w:r>
      <w:r>
        <w:rPr>
          <w:rFonts w:ascii="仿宋_GB2312" w:eastAsia="仿宋_GB2312" w:hAnsi="仿宋_GB2312" w:cs="仿宋_GB2312" w:hint="eastAsia"/>
          <w:sz w:val="32"/>
          <w:szCs w:val="32"/>
        </w:rPr>
        <w:t>号。项目总建筑面积</w:t>
      </w:r>
      <w:r>
        <w:rPr>
          <w:rFonts w:ascii="仿宋_GB2312" w:eastAsia="仿宋_GB2312" w:hAnsi="仿宋_GB2312" w:cs="仿宋_GB2312" w:hint="eastAsia"/>
          <w:sz w:val="32"/>
          <w:szCs w:val="32"/>
        </w:rPr>
        <w:t>7005.86</w:t>
      </w:r>
      <w:r>
        <w:rPr>
          <w:rFonts w:ascii="仿宋_GB2312" w:eastAsia="仿宋_GB2312" w:hAnsi="仿宋_GB2312" w:cs="仿宋_GB2312" w:hint="eastAsia"/>
          <w:sz w:val="32"/>
          <w:szCs w:val="32"/>
        </w:rPr>
        <w:t>m</w:t>
      </w:r>
      <w:r>
        <w:rPr>
          <w:rFonts w:ascii="仿宋_GB2312" w:eastAsia="仿宋_GB2312" w:hAnsi="仿宋_GB2312" w:cs="仿宋_GB2312" w:hint="eastAsia"/>
          <w:sz w:val="32"/>
          <w:szCs w:val="32"/>
          <w:vertAlign w:val="superscript"/>
        </w:rPr>
        <w:t>2</w:t>
      </w:r>
      <w:r>
        <w:rPr>
          <w:rFonts w:ascii="仿宋_GB2312" w:eastAsia="仿宋_GB2312" w:hAnsi="仿宋_GB2312" w:cs="仿宋_GB2312" w:hint="eastAsia"/>
          <w:sz w:val="32"/>
          <w:szCs w:val="32"/>
        </w:rPr>
        <w:t>，其中</w:t>
      </w:r>
      <w:r>
        <w:rPr>
          <w:rFonts w:ascii="仿宋_GB2312" w:eastAsia="仿宋_GB2312" w:hAnsi="仿宋_GB2312" w:cs="仿宋_GB2312" w:hint="eastAsia"/>
          <w:sz w:val="32"/>
          <w:szCs w:val="32"/>
        </w:rPr>
        <w:t>无尘车间</w:t>
      </w:r>
      <w:r>
        <w:rPr>
          <w:rFonts w:ascii="仿宋_GB2312" w:eastAsia="仿宋_GB2312" w:hAnsi="仿宋_GB2312" w:cs="仿宋_GB2312" w:hint="eastAsia"/>
          <w:sz w:val="32"/>
          <w:szCs w:val="32"/>
        </w:rPr>
        <w:t>1222.13</w:t>
      </w:r>
      <w:r>
        <w:rPr>
          <w:rFonts w:ascii="仿宋_GB2312" w:eastAsia="仿宋_GB2312" w:hAnsi="仿宋_GB2312" w:cs="仿宋_GB2312" w:hint="eastAsia"/>
          <w:sz w:val="32"/>
          <w:szCs w:val="32"/>
        </w:rPr>
        <w:t>m</w:t>
      </w:r>
      <w:r>
        <w:rPr>
          <w:rFonts w:ascii="仿宋_GB2312" w:eastAsia="仿宋_GB2312" w:hAnsi="仿宋_GB2312" w:cs="仿宋_GB2312" w:hint="eastAsia"/>
          <w:sz w:val="32"/>
          <w:szCs w:val="32"/>
          <w:vertAlign w:val="superscript"/>
        </w:rPr>
        <w:t>2</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提取车间</w:t>
      </w:r>
      <w:r>
        <w:rPr>
          <w:rFonts w:ascii="仿宋_GB2312" w:eastAsia="仿宋_GB2312" w:hAnsi="仿宋_GB2312" w:cs="仿宋_GB2312" w:hint="eastAsia"/>
          <w:sz w:val="32"/>
          <w:szCs w:val="32"/>
        </w:rPr>
        <w:t>1835.8m</w:t>
      </w:r>
      <w:r>
        <w:rPr>
          <w:rFonts w:ascii="仿宋_GB2312" w:eastAsia="仿宋_GB2312" w:hAnsi="仿宋_GB2312" w:cs="仿宋_GB2312" w:hint="eastAsia"/>
          <w:sz w:val="32"/>
          <w:szCs w:val="32"/>
          <w:vertAlign w:val="superscript"/>
        </w:rPr>
        <w:t>2</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办公楼及其他辅助用房</w:t>
      </w:r>
      <w:r>
        <w:rPr>
          <w:rFonts w:ascii="仿宋_GB2312" w:eastAsia="仿宋_GB2312" w:hAnsi="仿宋_GB2312" w:cs="仿宋_GB2312" w:hint="eastAsia"/>
          <w:sz w:val="32"/>
          <w:szCs w:val="32"/>
        </w:rPr>
        <w:t>1350.78</w:t>
      </w:r>
      <w:r>
        <w:rPr>
          <w:rFonts w:ascii="仿宋_GB2312" w:eastAsia="仿宋_GB2312" w:hAnsi="仿宋_GB2312" w:cs="仿宋_GB2312" w:hint="eastAsia"/>
          <w:sz w:val="32"/>
          <w:szCs w:val="32"/>
        </w:rPr>
        <w:t>m</w:t>
      </w:r>
      <w:r>
        <w:rPr>
          <w:rFonts w:ascii="仿宋_GB2312" w:eastAsia="仿宋_GB2312" w:hAnsi="仿宋_GB2312" w:cs="仿宋_GB2312" w:hint="eastAsia"/>
          <w:sz w:val="32"/>
          <w:szCs w:val="32"/>
          <w:vertAlign w:val="superscript"/>
        </w:rPr>
        <w:t>2</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提取、干燥、混合、制粒</w:t>
      </w:r>
      <w:r>
        <w:rPr>
          <w:rFonts w:ascii="仿宋_GB2312" w:eastAsia="仿宋_GB2312" w:hAnsi="仿宋_GB2312" w:cs="仿宋_GB2312" w:hint="eastAsia"/>
          <w:sz w:val="32"/>
          <w:szCs w:val="32"/>
        </w:rPr>
        <w:t>等主要</w:t>
      </w:r>
      <w:r>
        <w:rPr>
          <w:rFonts w:ascii="仿宋_GB2312" w:eastAsia="仿宋_GB2312" w:hAnsi="仿宋_GB2312" w:cs="仿宋_GB2312" w:hint="eastAsia"/>
          <w:sz w:val="32"/>
          <w:szCs w:val="32"/>
        </w:rPr>
        <w:t>生产</w:t>
      </w:r>
      <w:r>
        <w:rPr>
          <w:rFonts w:ascii="仿宋_GB2312" w:eastAsia="仿宋_GB2312" w:hAnsi="仿宋_GB2312" w:cs="仿宋_GB2312" w:hint="eastAsia"/>
          <w:sz w:val="32"/>
          <w:szCs w:val="32"/>
        </w:rPr>
        <w:t>设备</w:t>
      </w:r>
      <w:r>
        <w:rPr>
          <w:rFonts w:ascii="仿宋_GB2312" w:eastAsia="仿宋_GB2312" w:hAnsi="仿宋_GB2312" w:cs="仿宋_GB2312" w:hint="eastAsia"/>
          <w:sz w:val="32"/>
          <w:szCs w:val="32"/>
        </w:rPr>
        <w:t>37</w:t>
      </w:r>
      <w:r>
        <w:rPr>
          <w:rFonts w:ascii="仿宋_GB2312" w:eastAsia="仿宋_GB2312" w:hAnsi="仿宋_GB2312" w:cs="仿宋_GB2312" w:hint="eastAsia"/>
          <w:sz w:val="32"/>
          <w:szCs w:val="32"/>
        </w:rPr>
        <w:t>台套，配套建设供配电、给排水、消防系统、环卫设施、道路及绿化等公辅设施，形成年产</w:t>
      </w:r>
      <w:r>
        <w:rPr>
          <w:rFonts w:ascii="仿宋_GB2312" w:eastAsia="仿宋_GB2312" w:hAnsi="仿宋_GB2312" w:cs="仿宋_GB2312" w:hint="eastAsia"/>
          <w:sz w:val="32"/>
          <w:szCs w:val="32"/>
        </w:rPr>
        <w:t>25</w:t>
      </w:r>
      <w:r>
        <w:rPr>
          <w:rFonts w:ascii="仿宋_GB2312" w:eastAsia="仿宋_GB2312" w:hAnsi="仿宋_GB2312" w:cs="仿宋_GB2312" w:hint="eastAsia"/>
          <w:sz w:val="32"/>
          <w:szCs w:val="32"/>
        </w:rPr>
        <w:t>吨黄精制品生产能力。项目总投资</w:t>
      </w:r>
      <w:r>
        <w:rPr>
          <w:rFonts w:ascii="仿宋_GB2312" w:eastAsia="仿宋_GB2312" w:hAnsi="仿宋_GB2312" w:cs="仿宋_GB2312" w:hint="eastAsia"/>
          <w:sz w:val="32"/>
          <w:szCs w:val="32"/>
        </w:rPr>
        <w:t>10</w:t>
      </w:r>
      <w:r>
        <w:rPr>
          <w:rFonts w:ascii="仿宋_GB2312" w:eastAsia="仿宋_GB2312" w:hAnsi="仿宋_GB2312" w:cs="仿宋_GB2312" w:hint="eastAsia"/>
          <w:sz w:val="32"/>
          <w:szCs w:val="32"/>
        </w:rPr>
        <w:t>000</w:t>
      </w:r>
      <w:r>
        <w:rPr>
          <w:rFonts w:ascii="仿宋_GB2312" w:eastAsia="仿宋_GB2312" w:hAnsi="仿宋_GB2312" w:cs="仿宋_GB2312" w:hint="eastAsia"/>
          <w:sz w:val="32"/>
          <w:szCs w:val="32"/>
        </w:rPr>
        <w:t>万元，其</w:t>
      </w:r>
      <w:r>
        <w:rPr>
          <w:rFonts w:ascii="仿宋_GB2312" w:eastAsia="仿宋_GB2312" w:hAnsi="仿宋_GB2312" w:cs="仿宋_GB2312" w:hint="eastAsia"/>
          <w:sz w:val="32"/>
          <w:szCs w:val="32"/>
        </w:rPr>
        <w:t>中环保投资</w:t>
      </w:r>
      <w:r>
        <w:rPr>
          <w:rFonts w:ascii="仿宋_GB2312" w:eastAsia="仿宋_GB2312" w:hAnsi="仿宋_GB2312" w:cs="仿宋_GB2312" w:hint="eastAsia"/>
          <w:sz w:val="32"/>
          <w:szCs w:val="32"/>
        </w:rPr>
        <w:t>5</w:t>
      </w:r>
      <w:r>
        <w:rPr>
          <w:rFonts w:ascii="仿宋_GB2312" w:eastAsia="仿宋_GB2312" w:hAnsi="仿宋_GB2312" w:cs="仿宋_GB2312" w:hint="eastAsia"/>
          <w:sz w:val="32"/>
          <w:szCs w:val="32"/>
        </w:rPr>
        <w:t>6</w:t>
      </w:r>
      <w:r>
        <w:rPr>
          <w:rFonts w:ascii="仿宋_GB2312" w:eastAsia="仿宋_GB2312" w:hAnsi="仿宋_GB2312" w:cs="仿宋_GB2312" w:hint="eastAsia"/>
          <w:sz w:val="32"/>
          <w:szCs w:val="32"/>
        </w:rPr>
        <w:t>万元，占总投资的</w:t>
      </w:r>
      <w:r>
        <w:rPr>
          <w:rFonts w:ascii="仿宋_GB2312" w:eastAsia="仿宋_GB2312" w:hAnsi="仿宋_GB2312" w:cs="仿宋_GB2312" w:hint="eastAsia"/>
          <w:sz w:val="32"/>
          <w:szCs w:val="32"/>
        </w:rPr>
        <w:t>0.</w:t>
      </w:r>
      <w:r>
        <w:rPr>
          <w:rFonts w:ascii="仿宋_GB2312" w:eastAsia="仿宋_GB2312" w:hAnsi="仿宋_GB2312" w:cs="仿宋_GB2312" w:hint="eastAsia"/>
          <w:sz w:val="32"/>
          <w:szCs w:val="32"/>
        </w:rPr>
        <w:t>56</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。池州经济技术开发区经济发展局于</w:t>
      </w:r>
      <w:r>
        <w:rPr>
          <w:rFonts w:ascii="仿宋_GB2312" w:eastAsia="仿宋_GB2312" w:hAnsi="仿宋_GB2312" w:cs="仿宋_GB2312" w:hint="eastAsia"/>
          <w:sz w:val="32"/>
          <w:szCs w:val="32"/>
        </w:rPr>
        <w:t>202</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21</w:t>
      </w:r>
      <w:r>
        <w:rPr>
          <w:rFonts w:ascii="仿宋_GB2312" w:eastAsia="仿宋_GB2312" w:hAnsi="仿宋_GB2312" w:cs="仿宋_GB2312" w:hint="eastAsia"/>
          <w:sz w:val="32"/>
          <w:szCs w:val="32"/>
        </w:rPr>
        <w:t>日以池开管经〔</w:t>
      </w:r>
      <w:r>
        <w:rPr>
          <w:rFonts w:ascii="仿宋_GB2312" w:eastAsia="仿宋_GB2312" w:hAnsi="仿宋_GB2312" w:cs="仿宋_GB2312" w:hint="eastAsia"/>
          <w:sz w:val="32"/>
          <w:szCs w:val="32"/>
        </w:rPr>
        <w:t>202</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34</w:t>
      </w:r>
      <w:r>
        <w:rPr>
          <w:rFonts w:ascii="仿宋_GB2312" w:eastAsia="仿宋_GB2312" w:hAnsi="仿宋_GB2312" w:cs="仿宋_GB2312" w:hint="eastAsia"/>
          <w:sz w:val="32"/>
          <w:szCs w:val="32"/>
        </w:rPr>
        <w:t>号对项目予以备案（项目代码：</w:t>
      </w:r>
      <w:r>
        <w:rPr>
          <w:rFonts w:ascii="仿宋_GB2312" w:eastAsia="仿宋_GB2312" w:hAnsi="仿宋_GB2312" w:cs="仿宋_GB2312" w:hint="eastAsia"/>
          <w:sz w:val="32"/>
          <w:szCs w:val="32"/>
        </w:rPr>
        <w:t>2403-341761-04-02-954190</w:t>
      </w:r>
      <w:r>
        <w:rPr>
          <w:rFonts w:ascii="仿宋_GB2312" w:eastAsia="仿宋_GB2312" w:hAnsi="仿宋_GB2312" w:cs="仿宋_GB2312" w:hint="eastAsia"/>
          <w:sz w:val="32"/>
          <w:szCs w:val="32"/>
        </w:rPr>
        <w:t>）。</w:t>
      </w:r>
    </w:p>
    <w:p w:rsidR="00A852B0" w:rsidRDefault="005948EE">
      <w:pPr>
        <w:overflowPunct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二、原则同意《报告表》的技术评审意见和环境影响评价总</w:t>
      </w:r>
      <w:r>
        <w:rPr>
          <w:rFonts w:ascii="仿宋_GB2312" w:eastAsia="仿宋_GB2312" w:hAnsi="仿宋_GB2312" w:cs="仿宋_GB2312" w:hint="eastAsia"/>
          <w:sz w:val="32"/>
          <w:szCs w:val="32"/>
        </w:rPr>
        <w:lastRenderedPageBreak/>
        <w:t>体结论，你公司应严格按照《报告表》中所列项目性质、规模、地点、采用的生产工艺、环境保护措施开展建设和运营。</w:t>
      </w:r>
    </w:p>
    <w:p w:rsidR="00A852B0" w:rsidRDefault="005948EE">
      <w:pPr>
        <w:overflowPunct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三、生态环境保护措施和污染物排放控制要求</w:t>
      </w:r>
    </w:p>
    <w:p w:rsidR="00A852B0" w:rsidRDefault="005948EE">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（一）切实加强全厂废气收集、处理系统设计建设和维护管理。喷雾干燥粉尘经设备管道收集后通过一套布袋除尘设施处理后由一根</w:t>
      </w:r>
      <w:r>
        <w:rPr>
          <w:rFonts w:ascii="仿宋_GB2312" w:eastAsia="仿宋_GB2312" w:hAnsi="仿宋_GB2312" w:cs="仿宋_GB2312" w:hint="eastAsia"/>
          <w:sz w:val="32"/>
          <w:szCs w:val="32"/>
        </w:rPr>
        <w:t>15m</w:t>
      </w:r>
      <w:r>
        <w:rPr>
          <w:rFonts w:ascii="仿宋_GB2312" w:eastAsia="仿宋_GB2312" w:hAnsi="仿宋_GB2312" w:cs="仿宋_GB2312" w:hint="eastAsia"/>
          <w:sz w:val="32"/>
          <w:szCs w:val="32"/>
        </w:rPr>
        <w:t>排气筒（</w:t>
      </w:r>
      <w:r>
        <w:rPr>
          <w:rFonts w:ascii="仿宋_GB2312" w:eastAsia="仿宋_GB2312" w:hAnsi="仿宋_GB2312" w:cs="仿宋_GB2312" w:hint="eastAsia"/>
          <w:sz w:val="32"/>
          <w:szCs w:val="32"/>
        </w:rPr>
        <w:t>DA001</w:t>
      </w:r>
      <w:r>
        <w:rPr>
          <w:rFonts w:ascii="仿宋_GB2312" w:eastAsia="仿宋_GB2312" w:hAnsi="仿宋_GB2312" w:cs="仿宋_GB2312" w:hint="eastAsia"/>
          <w:sz w:val="32"/>
          <w:szCs w:val="32"/>
        </w:rPr>
        <w:t>）排放；投料、配料、制粒、分装工序产生的粉尘经车间新风系统附带过滤设施处理后无组织排放；黄精烘干、过滤黄精晾干工序产生的臭气浓度通过车间选址位于厂区下风向，车间排风等处理；污水处理设施产生的臭气浓度通过加盖密封、喷洒除臭剂、加强绿化等方式处理。</w:t>
      </w:r>
    </w:p>
    <w:p w:rsidR="00A852B0" w:rsidRDefault="005948EE">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本项目</w:t>
      </w:r>
      <w:r>
        <w:rPr>
          <w:rFonts w:ascii="仿宋_GB2312" w:eastAsia="仿宋_GB2312" w:hAnsi="仿宋_GB2312" w:cs="仿宋_GB2312" w:hint="eastAsia"/>
          <w:sz w:val="32"/>
          <w:szCs w:val="32"/>
        </w:rPr>
        <w:t>有组织排放的</w:t>
      </w:r>
      <w:r>
        <w:rPr>
          <w:rFonts w:ascii="仿宋_GB2312" w:eastAsia="仿宋_GB2312" w:hAnsi="仿宋_GB2312" w:cs="仿宋_GB2312" w:hint="eastAsia"/>
          <w:sz w:val="32"/>
          <w:szCs w:val="32"/>
        </w:rPr>
        <w:t>颗粒物执行《大气污染物综合排放标准》（</w:t>
      </w:r>
      <w:r>
        <w:rPr>
          <w:rFonts w:ascii="仿宋_GB2312" w:eastAsia="仿宋_GB2312" w:hAnsi="仿宋_GB2312" w:cs="仿宋_GB2312" w:hint="eastAsia"/>
          <w:sz w:val="32"/>
          <w:szCs w:val="32"/>
        </w:rPr>
        <w:t>GB16297-1996</w:t>
      </w:r>
      <w:r>
        <w:rPr>
          <w:rFonts w:ascii="仿宋_GB2312" w:eastAsia="仿宋_GB2312" w:hAnsi="仿宋_GB2312" w:cs="仿宋_GB2312" w:hint="eastAsia"/>
          <w:sz w:val="32"/>
          <w:szCs w:val="32"/>
        </w:rPr>
        <w:t>）表</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中排放标准限值，无组织排放的颗粒物执行《大气污染物综合排放标准》（</w:t>
      </w:r>
      <w:r>
        <w:rPr>
          <w:rFonts w:ascii="仿宋_GB2312" w:eastAsia="仿宋_GB2312" w:hAnsi="仿宋_GB2312" w:cs="仿宋_GB2312" w:hint="eastAsia"/>
          <w:sz w:val="32"/>
          <w:szCs w:val="32"/>
        </w:rPr>
        <w:t>GB16297-1996</w:t>
      </w:r>
      <w:r>
        <w:rPr>
          <w:rFonts w:ascii="仿宋_GB2312" w:eastAsia="仿宋_GB2312" w:hAnsi="仿宋_GB2312" w:cs="仿宋_GB2312" w:hint="eastAsia"/>
          <w:sz w:val="32"/>
          <w:szCs w:val="32"/>
        </w:rPr>
        <w:t>）表</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中无组织排放监控浓度限值要求；黄精烘干、黄精滤渣堆场和污水处理的生化池产生的臭气浓度</w:t>
      </w:r>
      <w:r>
        <w:rPr>
          <w:rFonts w:ascii="仿宋_GB2312" w:eastAsia="仿宋_GB2312" w:hAnsi="仿宋_GB2312" w:cs="仿宋_GB2312" w:hint="eastAsia"/>
          <w:sz w:val="32"/>
          <w:szCs w:val="32"/>
        </w:rPr>
        <w:t>等恶臭气体执行《恶臭污染物排放标准》（</w:t>
      </w:r>
      <w:r>
        <w:rPr>
          <w:rFonts w:ascii="仿宋_GB2312" w:eastAsia="仿宋_GB2312" w:hAnsi="仿宋_GB2312" w:cs="仿宋_GB2312" w:hint="eastAsia"/>
          <w:sz w:val="32"/>
          <w:szCs w:val="32"/>
        </w:rPr>
        <w:t>GB14554-93</w:t>
      </w:r>
      <w:r>
        <w:rPr>
          <w:rFonts w:ascii="仿宋_GB2312" w:eastAsia="仿宋_GB2312" w:hAnsi="仿宋_GB2312" w:cs="仿宋_GB2312" w:hint="eastAsia"/>
          <w:sz w:val="32"/>
          <w:szCs w:val="32"/>
        </w:rPr>
        <w:t>）中二级标准。</w:t>
      </w:r>
    </w:p>
    <w:p w:rsidR="00A852B0" w:rsidRDefault="005948EE">
      <w:pPr>
        <w:spacing w:line="560" w:lineRule="exact"/>
        <w:ind w:firstLineChars="200" w:firstLine="632"/>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二）按照“清污分流、雨污分流、分类收集、分质处理”的原则设计、建设和使用厂区排水系统。项目生活污水经化粪池处理，生产废水中清洗废水（黄精清洗废水、设备清洗废水、车间地面清洗废水）经车间污水管道收集后进入污水处理设施（</w:t>
      </w:r>
      <w:r>
        <w:rPr>
          <w:rFonts w:ascii="仿宋_GB2312" w:eastAsia="仿宋_GB2312" w:hAnsi="仿宋_GB2312" w:cs="仿宋_GB2312" w:hint="eastAsia"/>
          <w:spacing w:val="-2"/>
          <w:sz w:val="32"/>
          <w:szCs w:val="32"/>
        </w:rPr>
        <w:t>新建，规模：</w:t>
      </w:r>
      <w:r>
        <w:rPr>
          <w:rFonts w:ascii="仿宋_GB2312" w:eastAsia="仿宋_GB2312" w:hAnsi="仿宋_GB2312" w:cs="仿宋_GB2312" w:hint="eastAsia"/>
          <w:spacing w:val="-2"/>
          <w:sz w:val="32"/>
          <w:szCs w:val="32"/>
        </w:rPr>
        <w:t>1.5t/h</w:t>
      </w:r>
      <w:r>
        <w:rPr>
          <w:rFonts w:ascii="仿宋_GB2312" w:eastAsia="仿宋_GB2312" w:hAnsi="仿宋_GB2312" w:cs="仿宋_GB2312" w:hint="eastAsia"/>
          <w:spacing w:val="-2"/>
          <w:sz w:val="32"/>
          <w:szCs w:val="32"/>
        </w:rPr>
        <w:t>，工艺：</w:t>
      </w:r>
      <w:r>
        <w:rPr>
          <w:rFonts w:ascii="仿宋_GB2312" w:eastAsia="仿宋_GB2312" w:hAnsi="仿宋_GB2312" w:cs="仿宋_GB2312" w:hint="eastAsia"/>
          <w:spacing w:val="-2"/>
          <w:sz w:val="32"/>
          <w:szCs w:val="32"/>
        </w:rPr>
        <w:t>初沉池</w:t>
      </w:r>
      <w:r>
        <w:rPr>
          <w:rFonts w:ascii="仿宋_GB2312" w:eastAsia="仿宋_GB2312" w:hAnsi="仿宋_GB2312" w:cs="仿宋_GB2312" w:hint="eastAsia"/>
          <w:spacing w:val="-2"/>
          <w:sz w:val="32"/>
          <w:szCs w:val="32"/>
        </w:rPr>
        <w:t>+</w:t>
      </w:r>
      <w:r>
        <w:rPr>
          <w:rFonts w:ascii="仿宋_GB2312" w:eastAsia="仿宋_GB2312" w:hAnsi="仿宋_GB2312" w:cs="仿宋_GB2312" w:hint="eastAsia"/>
          <w:spacing w:val="-2"/>
          <w:sz w:val="32"/>
          <w:szCs w:val="32"/>
        </w:rPr>
        <w:t>生化（</w:t>
      </w:r>
      <w:r>
        <w:rPr>
          <w:rFonts w:ascii="仿宋_GB2312" w:eastAsia="仿宋_GB2312" w:hAnsi="仿宋_GB2312" w:cs="仿宋_GB2312" w:hint="eastAsia"/>
          <w:spacing w:val="-2"/>
          <w:sz w:val="32"/>
          <w:szCs w:val="32"/>
        </w:rPr>
        <w:t>A/O</w:t>
      </w:r>
      <w:r>
        <w:rPr>
          <w:rFonts w:ascii="仿宋_GB2312" w:eastAsia="仿宋_GB2312" w:hAnsi="仿宋_GB2312" w:cs="仿宋_GB2312" w:hint="eastAsia"/>
          <w:spacing w:val="-2"/>
          <w:sz w:val="32"/>
          <w:szCs w:val="32"/>
        </w:rPr>
        <w:t>）</w:t>
      </w:r>
      <w:r>
        <w:rPr>
          <w:rFonts w:ascii="仿宋_GB2312" w:eastAsia="仿宋_GB2312" w:hAnsi="仿宋_GB2312" w:cs="仿宋_GB2312" w:hint="eastAsia"/>
          <w:spacing w:val="-2"/>
          <w:sz w:val="32"/>
          <w:szCs w:val="32"/>
        </w:rPr>
        <w:t>+</w:t>
      </w:r>
      <w:r>
        <w:rPr>
          <w:rFonts w:ascii="仿宋_GB2312" w:eastAsia="仿宋_GB2312" w:hAnsi="仿宋_GB2312" w:cs="仿宋_GB2312" w:hint="eastAsia"/>
          <w:spacing w:val="-2"/>
          <w:sz w:val="32"/>
          <w:szCs w:val="32"/>
        </w:rPr>
        <w:t>二沉池）处理，与纯水制备废水一起排入城东污水处理厂。外排废水执行城东污</w:t>
      </w:r>
      <w:r>
        <w:rPr>
          <w:rFonts w:ascii="仿宋_GB2312" w:eastAsia="仿宋_GB2312" w:hAnsi="仿宋_GB2312" w:cs="仿宋_GB2312" w:hint="eastAsia"/>
          <w:spacing w:val="-2"/>
          <w:sz w:val="32"/>
          <w:szCs w:val="32"/>
        </w:rPr>
        <w:lastRenderedPageBreak/>
        <w:t>水处理厂接管限值。</w:t>
      </w:r>
    </w:p>
    <w:p w:rsidR="00A852B0" w:rsidRDefault="005948EE">
      <w:pPr>
        <w:spacing w:line="560" w:lineRule="exact"/>
        <w:ind w:firstLineChars="200" w:firstLine="632"/>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（三）</w:t>
      </w:r>
      <w:r>
        <w:rPr>
          <w:rFonts w:eastAsia="仿宋_GB2312" w:hint="eastAsia"/>
          <w:spacing w:val="-2"/>
          <w:sz w:val="32"/>
          <w:szCs w:val="32"/>
        </w:rPr>
        <w:t>优先选用低噪声设备，合理布置高噪声设备，对高噪声设备采取基础减振、隔</w:t>
      </w:r>
      <w:r>
        <w:rPr>
          <w:rFonts w:eastAsia="仿宋_GB2312" w:hint="eastAsia"/>
          <w:spacing w:val="-2"/>
          <w:sz w:val="32"/>
          <w:szCs w:val="32"/>
        </w:rPr>
        <w:t>声、消声等降噪措施，高噪声设备尽可能远离噪声敏感区。</w:t>
      </w:r>
      <w:r>
        <w:rPr>
          <w:rFonts w:ascii="仿宋_GB2312" w:eastAsia="仿宋_GB2312" w:hAnsi="仿宋_GB2312" w:cs="仿宋_GB2312" w:hint="eastAsia"/>
          <w:spacing w:val="-2"/>
          <w:sz w:val="32"/>
          <w:szCs w:val="32"/>
        </w:rPr>
        <w:t>厂界噪声应满足《工业企业厂界环境噪声排放标准》（</w:t>
      </w:r>
      <w:r>
        <w:rPr>
          <w:rFonts w:ascii="仿宋_GB2312" w:eastAsia="仿宋_GB2312" w:hAnsi="仿宋_GB2312" w:cs="仿宋_GB2312" w:hint="eastAsia"/>
          <w:spacing w:val="-2"/>
          <w:sz w:val="32"/>
          <w:szCs w:val="32"/>
        </w:rPr>
        <w:t>GB12348-2008</w:t>
      </w:r>
      <w:r>
        <w:rPr>
          <w:rFonts w:ascii="仿宋_GB2312" w:eastAsia="仿宋_GB2312" w:hAnsi="仿宋_GB2312" w:cs="仿宋_GB2312" w:hint="eastAsia"/>
          <w:spacing w:val="-2"/>
          <w:sz w:val="32"/>
          <w:szCs w:val="32"/>
        </w:rPr>
        <w:t>）中</w:t>
      </w:r>
      <w:r>
        <w:rPr>
          <w:rFonts w:ascii="仿宋_GB2312" w:eastAsia="仿宋_GB2312" w:hAnsi="仿宋_GB2312" w:cs="仿宋_GB2312" w:hint="eastAsia"/>
          <w:spacing w:val="-2"/>
          <w:sz w:val="32"/>
          <w:szCs w:val="32"/>
        </w:rPr>
        <w:t>3</w:t>
      </w:r>
      <w:r>
        <w:rPr>
          <w:rFonts w:ascii="仿宋_GB2312" w:eastAsia="仿宋_GB2312" w:hAnsi="仿宋_GB2312" w:cs="仿宋_GB2312" w:hint="eastAsia"/>
          <w:spacing w:val="-2"/>
          <w:sz w:val="32"/>
          <w:szCs w:val="32"/>
        </w:rPr>
        <w:t>类标准限值。</w:t>
      </w:r>
    </w:p>
    <w:p w:rsidR="00A852B0" w:rsidRDefault="005948EE">
      <w:pPr>
        <w:spacing w:line="560" w:lineRule="exact"/>
        <w:ind w:firstLineChars="200" w:firstLine="632"/>
        <w:rPr>
          <w:rFonts w:eastAsia="仿宋_GB2312"/>
          <w:color w:val="FF0000"/>
          <w:spacing w:val="-2"/>
          <w:sz w:val="32"/>
          <w:szCs w:val="32"/>
        </w:rPr>
      </w:pPr>
      <w:r>
        <w:rPr>
          <w:rFonts w:ascii="仿宋_GB2312" w:eastAsia="仿宋_GB2312" w:hAnsi="仿宋_GB2312" w:cs="仿宋_GB2312" w:hint="eastAsia"/>
          <w:spacing w:val="-2"/>
          <w:sz w:val="32"/>
          <w:szCs w:val="32"/>
        </w:rPr>
        <w:t>（四）固体废物处理处置应遵循“减量化、资源化、无害化”的原则，对固体废物的产生、运输、贮存、处理和处置实施全过程控制。不合格原料、废包装材料、黄精滤渣、不合格品、过筛杂质、纯水制备废渗透膜、布袋除尘器收集粉尘、沉淀污泥等一般固体废物暂存于一般固废库后外售综合利用；实验室废液、甲醇包装瓶等危险废物暂存于危废库内，定期委托有资质单位处置。</w:t>
      </w:r>
      <w:r>
        <w:rPr>
          <w:rFonts w:eastAsia="仿宋_GB2312" w:hint="eastAsia"/>
          <w:spacing w:val="-2"/>
          <w:sz w:val="32"/>
          <w:szCs w:val="32"/>
        </w:rPr>
        <w:t>一般固废库</w:t>
      </w:r>
      <w:r>
        <w:rPr>
          <w:rFonts w:ascii="仿宋_GB2312" w:eastAsia="仿宋_GB2312" w:hAnsi="仿宋_GB2312" w:cs="仿宋_GB2312" w:hint="eastAsia"/>
          <w:spacing w:val="-2"/>
          <w:sz w:val="32"/>
          <w:szCs w:val="32"/>
        </w:rPr>
        <w:t>（</w:t>
      </w:r>
      <w:r>
        <w:rPr>
          <w:rFonts w:ascii="仿宋_GB2312" w:eastAsia="仿宋_GB2312" w:hAnsi="仿宋_GB2312" w:cs="仿宋_GB2312" w:hint="eastAsia"/>
          <w:spacing w:val="-2"/>
          <w:sz w:val="32"/>
          <w:szCs w:val="32"/>
        </w:rPr>
        <w:t>20</w:t>
      </w:r>
      <w:r>
        <w:rPr>
          <w:rFonts w:ascii="仿宋_GB2312" w:eastAsia="仿宋_GB2312" w:hAnsi="仿宋_GB2312" w:cs="仿宋_GB2312" w:hint="eastAsia"/>
          <w:spacing w:val="-2"/>
          <w:sz w:val="32"/>
          <w:szCs w:val="32"/>
        </w:rPr>
        <w:t>m</w:t>
      </w:r>
      <w:r>
        <w:rPr>
          <w:rFonts w:ascii="仿宋_GB2312" w:eastAsia="仿宋_GB2312" w:hAnsi="仿宋_GB2312" w:cs="仿宋_GB2312" w:hint="eastAsia"/>
          <w:spacing w:val="-2"/>
          <w:sz w:val="32"/>
          <w:szCs w:val="32"/>
          <w:vertAlign w:val="superscript"/>
        </w:rPr>
        <w:t>2</w:t>
      </w:r>
      <w:r>
        <w:rPr>
          <w:rFonts w:ascii="仿宋_GB2312" w:eastAsia="仿宋_GB2312" w:hAnsi="仿宋_GB2312" w:cs="仿宋_GB2312" w:hint="eastAsia"/>
          <w:spacing w:val="-2"/>
          <w:sz w:val="32"/>
          <w:szCs w:val="32"/>
        </w:rPr>
        <w:t>）</w:t>
      </w:r>
      <w:r>
        <w:rPr>
          <w:rFonts w:eastAsia="仿宋_GB2312" w:hint="eastAsia"/>
          <w:spacing w:val="-2"/>
          <w:sz w:val="32"/>
          <w:szCs w:val="32"/>
        </w:rPr>
        <w:t>按照</w:t>
      </w:r>
      <w:r>
        <w:rPr>
          <w:rFonts w:eastAsia="仿宋_GB2312"/>
          <w:spacing w:val="-2"/>
          <w:sz w:val="32"/>
          <w:szCs w:val="32"/>
        </w:rPr>
        <w:t>“</w:t>
      </w:r>
      <w:r>
        <w:rPr>
          <w:rFonts w:eastAsia="仿宋_GB2312" w:hint="eastAsia"/>
          <w:spacing w:val="-2"/>
          <w:sz w:val="32"/>
          <w:szCs w:val="32"/>
        </w:rPr>
        <w:t>防渗</w:t>
      </w:r>
      <w:r>
        <w:rPr>
          <w:rFonts w:eastAsia="仿宋_GB2312" w:hint="eastAsia"/>
          <w:spacing w:val="-2"/>
          <w:sz w:val="32"/>
          <w:szCs w:val="32"/>
        </w:rPr>
        <w:t>漏、防雨淋、防扬尘</w:t>
      </w:r>
      <w:r>
        <w:rPr>
          <w:rFonts w:eastAsia="仿宋_GB2312"/>
          <w:spacing w:val="-2"/>
          <w:sz w:val="32"/>
          <w:szCs w:val="32"/>
        </w:rPr>
        <w:t>”</w:t>
      </w:r>
      <w:r>
        <w:rPr>
          <w:rFonts w:eastAsia="仿宋_GB2312" w:hint="eastAsia"/>
          <w:spacing w:val="-2"/>
          <w:sz w:val="32"/>
          <w:szCs w:val="32"/>
        </w:rPr>
        <w:t>等要求设置；</w:t>
      </w:r>
      <w:r>
        <w:rPr>
          <w:rFonts w:ascii="仿宋_GB2312" w:eastAsia="仿宋_GB2312" w:hAnsi="仿宋_GB2312" w:cs="仿宋_GB2312" w:hint="eastAsia"/>
          <w:spacing w:val="-2"/>
          <w:sz w:val="32"/>
          <w:szCs w:val="32"/>
        </w:rPr>
        <w:t>危废暂存间（</w:t>
      </w:r>
      <w:r>
        <w:rPr>
          <w:rFonts w:ascii="仿宋_GB2312" w:eastAsia="仿宋_GB2312" w:hAnsi="仿宋_GB2312" w:cs="仿宋_GB2312" w:hint="eastAsia"/>
          <w:spacing w:val="-2"/>
          <w:sz w:val="32"/>
          <w:szCs w:val="32"/>
        </w:rPr>
        <w:t>5</w:t>
      </w:r>
      <w:r>
        <w:rPr>
          <w:rFonts w:ascii="仿宋_GB2312" w:eastAsia="仿宋_GB2312" w:hAnsi="仿宋_GB2312" w:cs="仿宋_GB2312" w:hint="eastAsia"/>
          <w:spacing w:val="-2"/>
          <w:sz w:val="32"/>
          <w:szCs w:val="32"/>
        </w:rPr>
        <w:t>m</w:t>
      </w:r>
      <w:r>
        <w:rPr>
          <w:rFonts w:ascii="仿宋_GB2312" w:eastAsia="仿宋_GB2312" w:hAnsi="仿宋_GB2312" w:cs="仿宋_GB2312" w:hint="eastAsia"/>
          <w:spacing w:val="-2"/>
          <w:sz w:val="32"/>
          <w:szCs w:val="32"/>
          <w:vertAlign w:val="superscript"/>
        </w:rPr>
        <w:t>2</w:t>
      </w:r>
      <w:r>
        <w:rPr>
          <w:rFonts w:ascii="仿宋_GB2312" w:eastAsia="仿宋_GB2312" w:hAnsi="仿宋_GB2312" w:cs="仿宋_GB2312" w:hint="eastAsia"/>
          <w:spacing w:val="-2"/>
          <w:sz w:val="32"/>
          <w:szCs w:val="32"/>
        </w:rPr>
        <w:t>）按照《危险废物贮存污染控制标准》（</w:t>
      </w:r>
      <w:r>
        <w:rPr>
          <w:rFonts w:ascii="仿宋_GB2312" w:eastAsia="仿宋_GB2312" w:hAnsi="仿宋_GB2312" w:cs="仿宋_GB2312" w:hint="eastAsia"/>
          <w:spacing w:val="-2"/>
          <w:sz w:val="32"/>
          <w:szCs w:val="32"/>
        </w:rPr>
        <w:t>GB18597-2023</w:t>
      </w:r>
      <w:r>
        <w:rPr>
          <w:rFonts w:ascii="仿宋_GB2312" w:eastAsia="仿宋_GB2312" w:hAnsi="仿宋_GB2312" w:cs="仿宋_GB2312" w:hint="eastAsia"/>
          <w:spacing w:val="-2"/>
          <w:sz w:val="32"/>
          <w:szCs w:val="32"/>
        </w:rPr>
        <w:t>）规范建设；危险废物规范化管理应按照原环境保护部《关于印发危险废物规范化管理指标体系的通知》（环办</w:t>
      </w:r>
      <w:r>
        <w:rPr>
          <w:rFonts w:ascii="仿宋_GB2312" w:eastAsia="仿宋_GB2312" w:hAnsi="仿宋_GB2312" w:cs="仿宋_GB2312" w:hint="eastAsia"/>
          <w:spacing w:val="-2"/>
          <w:sz w:val="32"/>
          <w:szCs w:val="32"/>
        </w:rPr>
        <w:t>[2015]99</w:t>
      </w:r>
      <w:r>
        <w:rPr>
          <w:rFonts w:ascii="仿宋_GB2312" w:eastAsia="仿宋_GB2312" w:hAnsi="仿宋_GB2312" w:cs="仿宋_GB2312" w:hint="eastAsia"/>
          <w:spacing w:val="-2"/>
          <w:sz w:val="32"/>
          <w:szCs w:val="32"/>
        </w:rPr>
        <w:t>号）要求强化管理，特别是临时贮存、转运等环节的防治措施。</w:t>
      </w:r>
      <w:r>
        <w:rPr>
          <w:rFonts w:eastAsia="仿宋_GB2312" w:hint="eastAsia"/>
          <w:spacing w:val="-2"/>
          <w:sz w:val="32"/>
          <w:szCs w:val="32"/>
        </w:rPr>
        <w:t>生活垃圾收集后交环卫部门统一处置。</w:t>
      </w:r>
    </w:p>
    <w:p w:rsidR="00A852B0" w:rsidRDefault="005948EE">
      <w:pPr>
        <w:spacing w:line="560" w:lineRule="exact"/>
        <w:ind w:firstLineChars="200" w:firstLine="632"/>
        <w:rPr>
          <w:rFonts w:eastAsia="仿宋_GB2312"/>
          <w:spacing w:val="-2"/>
          <w:sz w:val="32"/>
          <w:szCs w:val="32"/>
        </w:rPr>
      </w:pPr>
      <w:r>
        <w:rPr>
          <w:rFonts w:eastAsia="仿宋_GB2312" w:hint="eastAsia"/>
          <w:spacing w:val="-2"/>
          <w:sz w:val="32"/>
          <w:szCs w:val="32"/>
        </w:rPr>
        <w:t>四、项目建设和生产过程中应重点做好以下工作：</w:t>
      </w:r>
    </w:p>
    <w:p w:rsidR="00A852B0" w:rsidRDefault="005948EE">
      <w:pPr>
        <w:overflowPunct w:val="0"/>
        <w:spacing w:line="560" w:lineRule="exact"/>
        <w:ind w:firstLineChars="200" w:firstLine="632"/>
        <w:rPr>
          <w:rFonts w:eastAsia="仿宋_GB2312"/>
          <w:spacing w:val="-2"/>
          <w:sz w:val="32"/>
          <w:szCs w:val="32"/>
        </w:rPr>
      </w:pPr>
      <w:r>
        <w:rPr>
          <w:rFonts w:eastAsia="仿宋_GB2312" w:hint="eastAsia"/>
          <w:spacing w:val="-2"/>
          <w:sz w:val="32"/>
          <w:szCs w:val="32"/>
        </w:rPr>
        <w:t>（一）项目在设计、建设和运行中，应坚持循环经济、清洁生产、绿色有序发展理念，进一步优化工艺路线和设计方案，强化各装置节能降耗措施，进一步减少污染物的产生量和排放量；</w:t>
      </w:r>
      <w:r>
        <w:rPr>
          <w:rFonts w:ascii="仿宋_GB2312" w:eastAsia="仿宋_GB2312" w:hAnsi="仿宋_GB2312" w:cs="仿宋_GB2312" w:hint="eastAsia"/>
          <w:sz w:val="32"/>
          <w:szCs w:val="32"/>
        </w:rPr>
        <w:t>落实生态环境分区管控要求</w:t>
      </w:r>
      <w:r>
        <w:rPr>
          <w:rFonts w:eastAsia="仿宋_GB2312" w:hint="eastAsia"/>
          <w:spacing w:val="-2"/>
          <w:sz w:val="32"/>
          <w:szCs w:val="32"/>
        </w:rPr>
        <w:t>；做好厂区绿化工作。</w:t>
      </w:r>
    </w:p>
    <w:p w:rsidR="00A852B0" w:rsidRDefault="005948EE">
      <w:pPr>
        <w:overflowPunct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（二）注重施工期的环境管理。施工期大气污染防治措施应满足《安徽省大气污染防治条例》及《安徽省建筑工程施工扬尘污染防治规定》等要求；施工期颗粒物执行《施工场地颗粒物排放标准》（</w:t>
      </w:r>
      <w:r>
        <w:rPr>
          <w:rFonts w:ascii="仿宋_GB2312" w:eastAsia="仿宋_GB2312" w:hAnsi="仿宋_GB2312" w:cs="仿宋_GB2312" w:hint="eastAsia"/>
          <w:sz w:val="32"/>
          <w:szCs w:val="32"/>
        </w:rPr>
        <w:t>DB34/4811-2024</w:t>
      </w:r>
      <w:r>
        <w:rPr>
          <w:rFonts w:ascii="仿宋_GB2312" w:eastAsia="仿宋_GB2312" w:hAnsi="仿宋_GB2312" w:cs="仿宋_GB2312" w:hint="eastAsia"/>
          <w:sz w:val="32"/>
          <w:szCs w:val="32"/>
        </w:rPr>
        <w:t>）中要求；施工期环境噪声应满足《建筑施工场界环境噪声排放标准》规定的要求；建筑垃圾应分类处理，尽可能</w:t>
      </w:r>
      <w:r>
        <w:rPr>
          <w:rFonts w:ascii="仿宋_GB2312" w:eastAsia="仿宋_GB2312" w:hAnsi="仿宋_GB2312" w:cs="仿宋_GB2312" w:hint="eastAsia"/>
          <w:sz w:val="32"/>
          <w:szCs w:val="32"/>
        </w:rPr>
        <w:t>回收利用；落实生活垃圾分类收集制度。</w:t>
      </w:r>
    </w:p>
    <w:p w:rsidR="00A852B0" w:rsidRDefault="005948EE">
      <w:pPr>
        <w:overflowPunct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加强项目日常环境管理和环境风险防范。公司应建立健全包括环境风险预防在内的各项生态环境保护规章制度，设置环保管理机构，落实专职环保技术人员并加强能力培训；强化污染防治设施日常运行管理，规范设置排污口；污染防治设施运行记录应真实、有效、及时；按照规范制定企业自行监测方案，配备必要的环境监测仪器设备或委托有资质单位开展自行监测；定期发布企业环境信息并主动接受社会监督；加强各类原辅材料运输、贮存、使用过程中的管理。</w:t>
      </w:r>
    </w:p>
    <w:p w:rsidR="00A852B0" w:rsidRDefault="005948EE">
      <w:pPr>
        <w:pStyle w:val="12"/>
        <w:adjustRightInd/>
        <w:snapToGrid/>
        <w:spacing w:line="560" w:lineRule="exact"/>
        <w:ind w:firstLineChars="200" w:firstLine="632"/>
        <w:rPr>
          <w:rFonts w:ascii="Times New Roman" w:eastAsia="仿宋_GB2312" w:hAnsi="Times New Roman"/>
          <w:spacing w:val="-2"/>
          <w:kern w:val="2"/>
          <w:sz w:val="32"/>
          <w:szCs w:val="32"/>
        </w:rPr>
      </w:pPr>
      <w:r>
        <w:rPr>
          <w:rFonts w:ascii="Times New Roman" w:eastAsia="仿宋_GB2312" w:hAnsi="Times New Roman" w:hint="eastAsia"/>
          <w:spacing w:val="-2"/>
          <w:sz w:val="32"/>
          <w:szCs w:val="32"/>
        </w:rPr>
        <w:t>（四）</w:t>
      </w:r>
      <w:r>
        <w:rPr>
          <w:rFonts w:ascii="Times New Roman" w:eastAsia="仿宋_GB2312" w:hAnsi="Times New Roman" w:hint="eastAsia"/>
          <w:spacing w:val="-2"/>
          <w:kern w:val="2"/>
          <w:sz w:val="32"/>
          <w:szCs w:val="32"/>
        </w:rPr>
        <w:t>加强地下水和土壤环境污染防控。按分区防渗原则，加强</w:t>
      </w:r>
      <w:r>
        <w:rPr>
          <w:rFonts w:ascii="Times New Roman" w:eastAsia="仿宋_GB2312" w:hAnsi="Times New Roman" w:hint="eastAsia"/>
          <w:spacing w:val="-2"/>
          <w:kern w:val="2"/>
          <w:sz w:val="32"/>
          <w:szCs w:val="32"/>
        </w:rPr>
        <w:t>地下水污染防控。严格落实厂区建构筑物防渗措施，特别是可能因渗漏对地下水水质产生影响场所的防渗措施，避免对地下水水质产生影响。</w:t>
      </w:r>
    </w:p>
    <w:p w:rsidR="00A852B0" w:rsidRDefault="005948EE">
      <w:pPr>
        <w:spacing w:line="560" w:lineRule="exact"/>
        <w:ind w:firstLineChars="200" w:firstLine="632"/>
        <w:rPr>
          <w:rFonts w:ascii="楷体_GB2312" w:eastAsia="楷体_GB2312" w:hAnsi="仿宋_GB2312" w:cs="仿宋_GB2312"/>
          <w:spacing w:val="-2"/>
          <w:sz w:val="32"/>
          <w:szCs w:val="32"/>
        </w:rPr>
      </w:pPr>
      <w:r>
        <w:rPr>
          <w:rFonts w:ascii="仿宋_GB2312" w:eastAsia="仿宋_GB2312" w:hAnsi="仿宋_GB2312" w:cs="仿宋_GB2312" w:hint="eastAsia"/>
          <w:spacing w:val="-2"/>
          <w:sz w:val="32"/>
          <w:szCs w:val="32"/>
        </w:rPr>
        <w:t>（五）严格落实污染物排放总量控制制度。项目在落实《报告表》提出的污染防治措施后：废水污染物中</w:t>
      </w:r>
      <w:r>
        <w:rPr>
          <w:rFonts w:ascii="仿宋_GB2312" w:eastAsia="仿宋_GB2312" w:hAnsi="仿宋_GB2312" w:cs="仿宋_GB2312" w:hint="eastAsia"/>
          <w:spacing w:val="-2"/>
          <w:sz w:val="32"/>
          <w:szCs w:val="32"/>
        </w:rPr>
        <w:t>COD</w:t>
      </w:r>
      <w:r>
        <w:rPr>
          <w:rFonts w:ascii="仿宋_GB2312" w:eastAsia="仿宋_GB2312" w:hAnsi="仿宋_GB2312" w:cs="仿宋_GB2312" w:hint="eastAsia"/>
          <w:spacing w:val="-2"/>
          <w:sz w:val="32"/>
          <w:szCs w:val="32"/>
        </w:rPr>
        <w:t>的排放总量和</w:t>
      </w:r>
      <w:r>
        <w:rPr>
          <w:rFonts w:ascii="仿宋_GB2312" w:eastAsia="仿宋_GB2312" w:hAnsi="仿宋_GB2312" w:cs="仿宋_GB2312" w:hint="eastAsia"/>
          <w:spacing w:val="-2"/>
          <w:sz w:val="32"/>
          <w:szCs w:val="32"/>
        </w:rPr>
        <w:t>NH</w:t>
      </w:r>
      <w:r>
        <w:rPr>
          <w:rFonts w:ascii="仿宋_GB2312" w:eastAsia="仿宋_GB2312" w:hAnsi="仿宋_GB2312" w:cs="仿宋_GB2312" w:hint="eastAsia"/>
          <w:spacing w:val="-2"/>
          <w:sz w:val="32"/>
          <w:szCs w:val="32"/>
          <w:vertAlign w:val="subscript"/>
        </w:rPr>
        <w:t>3</w:t>
      </w:r>
      <w:r>
        <w:rPr>
          <w:rFonts w:ascii="仿宋_GB2312" w:eastAsia="仿宋_GB2312" w:hAnsi="仿宋_GB2312" w:cs="仿宋_GB2312" w:hint="eastAsia"/>
          <w:spacing w:val="-2"/>
          <w:sz w:val="32"/>
          <w:szCs w:val="32"/>
        </w:rPr>
        <w:t>-N</w:t>
      </w:r>
      <w:r>
        <w:rPr>
          <w:rFonts w:ascii="仿宋_GB2312" w:eastAsia="仿宋_GB2312" w:hAnsi="仿宋_GB2312" w:cs="仿宋_GB2312" w:hint="eastAsia"/>
          <w:spacing w:val="-2"/>
          <w:sz w:val="32"/>
          <w:szCs w:val="32"/>
        </w:rPr>
        <w:t>排放总量纳入城东污水处理厂总量统一管理。</w:t>
      </w:r>
    </w:p>
    <w:p w:rsidR="00A852B0" w:rsidRDefault="005948EE">
      <w:pPr>
        <w:spacing w:line="560" w:lineRule="exact"/>
        <w:ind w:firstLineChars="200" w:firstLine="632"/>
        <w:rPr>
          <w:rFonts w:eastAsia="仿宋_GB2312"/>
          <w:spacing w:val="-2"/>
          <w:sz w:val="32"/>
          <w:szCs w:val="32"/>
        </w:rPr>
      </w:pPr>
      <w:r>
        <w:rPr>
          <w:rFonts w:eastAsia="仿宋_GB2312" w:hint="eastAsia"/>
          <w:spacing w:val="-2"/>
          <w:sz w:val="32"/>
          <w:szCs w:val="32"/>
        </w:rPr>
        <w:t>（六）若项目的性质、地点、规模、生产工艺或污染防治措</w:t>
      </w:r>
      <w:r>
        <w:rPr>
          <w:rFonts w:eastAsia="仿宋_GB2312" w:hint="eastAsia"/>
          <w:spacing w:val="-2"/>
          <w:sz w:val="32"/>
          <w:szCs w:val="32"/>
        </w:rPr>
        <w:lastRenderedPageBreak/>
        <w:t>施等发生重大变动的，应当重新报批项目环评文件。项目环评文件自批复之日起</w:t>
      </w:r>
      <w:r>
        <w:rPr>
          <w:rFonts w:eastAsia="仿宋_GB2312"/>
          <w:spacing w:val="-2"/>
          <w:sz w:val="32"/>
          <w:szCs w:val="32"/>
        </w:rPr>
        <w:t>,</w:t>
      </w:r>
      <w:r>
        <w:rPr>
          <w:rFonts w:eastAsia="仿宋_GB2312" w:hint="eastAsia"/>
          <w:spacing w:val="-2"/>
          <w:sz w:val="32"/>
          <w:szCs w:val="32"/>
        </w:rPr>
        <w:t>如超过</w:t>
      </w:r>
      <w:r>
        <w:rPr>
          <w:rFonts w:eastAsia="仿宋_GB2312"/>
          <w:spacing w:val="-2"/>
          <w:sz w:val="32"/>
          <w:szCs w:val="32"/>
        </w:rPr>
        <w:t>5</w:t>
      </w:r>
      <w:r>
        <w:rPr>
          <w:rFonts w:eastAsia="仿宋_GB2312" w:hint="eastAsia"/>
          <w:spacing w:val="-2"/>
          <w:sz w:val="32"/>
          <w:szCs w:val="32"/>
        </w:rPr>
        <w:t>年方决定开工建设的，环评文件应当重新审核。</w:t>
      </w:r>
    </w:p>
    <w:p w:rsidR="00A852B0" w:rsidRDefault="005948EE">
      <w:pPr>
        <w:spacing w:line="560" w:lineRule="exact"/>
        <w:ind w:firstLineChars="200" w:firstLine="632"/>
        <w:rPr>
          <w:rFonts w:eastAsia="仿宋_GB2312"/>
          <w:spacing w:val="-2"/>
          <w:sz w:val="32"/>
          <w:szCs w:val="32"/>
        </w:rPr>
      </w:pPr>
      <w:r>
        <w:rPr>
          <w:rFonts w:eastAsia="仿宋_GB2312" w:hint="eastAsia"/>
          <w:spacing w:val="-2"/>
          <w:sz w:val="32"/>
          <w:szCs w:val="32"/>
        </w:rPr>
        <w:t>（七）按照《排污许可管理条例》、</w:t>
      </w:r>
      <w:r>
        <w:rPr>
          <w:rFonts w:ascii="仿宋_GB2312" w:eastAsia="仿宋_GB2312" w:hAnsi="仿宋_GB2312" w:cs="仿宋_GB2312" w:hint="eastAsia"/>
          <w:sz w:val="32"/>
          <w:szCs w:val="32"/>
        </w:rPr>
        <w:t>《排污许可管理条例》</w:t>
      </w:r>
      <w:r>
        <w:rPr>
          <w:rFonts w:eastAsia="仿宋_GB2312" w:hint="eastAsia"/>
          <w:spacing w:val="-2"/>
          <w:sz w:val="32"/>
          <w:szCs w:val="32"/>
        </w:rPr>
        <w:t>和《固定污染源排污许可分类管理名录》规定的相关要求申请办理《排污许可证》，将《报告表》中各项环境保护措施、污染物排放清单及其他有关内容载入排污许可证；项目未取得《排污许可证》前不得投入试生产或试运行。</w:t>
      </w:r>
    </w:p>
    <w:p w:rsidR="00A852B0" w:rsidRDefault="005948EE">
      <w:pPr>
        <w:spacing w:line="560" w:lineRule="exact"/>
        <w:ind w:firstLineChars="200" w:firstLine="632"/>
        <w:rPr>
          <w:rFonts w:eastAsia="仿宋_GB2312"/>
          <w:spacing w:val="-2"/>
          <w:sz w:val="32"/>
          <w:szCs w:val="32"/>
        </w:rPr>
      </w:pPr>
      <w:r>
        <w:rPr>
          <w:rFonts w:eastAsia="仿宋_GB2312" w:hint="eastAsia"/>
          <w:spacing w:val="-2"/>
          <w:sz w:val="32"/>
          <w:szCs w:val="32"/>
        </w:rPr>
        <w:t>（八）项目建设应严格执行环境保护设施与主体工程同时设计、同时施工、同时投产使用的环境保护</w:t>
      </w:r>
      <w:r>
        <w:rPr>
          <w:rFonts w:eastAsia="仿宋_GB2312"/>
          <w:spacing w:val="-2"/>
          <w:sz w:val="32"/>
          <w:szCs w:val="32"/>
        </w:rPr>
        <w:t>“</w:t>
      </w:r>
      <w:r>
        <w:rPr>
          <w:rFonts w:eastAsia="仿宋_GB2312" w:hint="eastAsia"/>
          <w:spacing w:val="-2"/>
          <w:sz w:val="32"/>
          <w:szCs w:val="32"/>
        </w:rPr>
        <w:t>三同时</w:t>
      </w:r>
      <w:r>
        <w:rPr>
          <w:rFonts w:eastAsia="仿宋_GB2312"/>
          <w:spacing w:val="-2"/>
          <w:sz w:val="32"/>
          <w:szCs w:val="32"/>
        </w:rPr>
        <w:t>”</w:t>
      </w:r>
      <w:r>
        <w:rPr>
          <w:rFonts w:eastAsia="仿宋_GB2312" w:hint="eastAsia"/>
          <w:spacing w:val="-2"/>
          <w:sz w:val="32"/>
          <w:szCs w:val="32"/>
        </w:rPr>
        <w:t>制度；项目建成投入试生产或试运行前应及时告知我局；正式投入生产（运行）前应按照规定开展环境保护设施验收，验收合格后，项目方可正式投入生产（运行）。</w:t>
      </w:r>
    </w:p>
    <w:p w:rsidR="00A852B0" w:rsidRDefault="00A852B0">
      <w:pPr>
        <w:pStyle w:val="a0"/>
        <w:ind w:firstLine="560"/>
      </w:pPr>
    </w:p>
    <w:p w:rsidR="00A852B0" w:rsidRDefault="005948EE">
      <w:pPr>
        <w:spacing w:line="620" w:lineRule="exact"/>
        <w:jc w:val="right"/>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池州经济技术开发区生态环境局</w:t>
      </w:r>
    </w:p>
    <w:p w:rsidR="00A852B0" w:rsidRDefault="005948EE">
      <w:pPr>
        <w:spacing w:line="620" w:lineRule="exact"/>
        <w:ind w:firstLineChars="1700" w:firstLine="5372"/>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2024</w:t>
      </w:r>
      <w:r>
        <w:rPr>
          <w:rFonts w:ascii="仿宋_GB2312" w:eastAsia="仿宋_GB2312" w:hAnsi="仿宋_GB2312" w:cs="仿宋_GB2312" w:hint="eastAsia"/>
          <w:spacing w:val="-2"/>
          <w:sz w:val="32"/>
          <w:szCs w:val="32"/>
        </w:rPr>
        <w:t>年</w:t>
      </w:r>
      <w:r>
        <w:rPr>
          <w:rFonts w:ascii="仿宋_GB2312" w:eastAsia="仿宋_GB2312" w:hAnsi="仿宋_GB2312" w:cs="仿宋_GB2312" w:hint="eastAsia"/>
          <w:spacing w:val="-2"/>
          <w:sz w:val="32"/>
          <w:szCs w:val="32"/>
        </w:rPr>
        <w:t>1</w:t>
      </w:r>
      <w:r>
        <w:rPr>
          <w:rFonts w:ascii="仿宋_GB2312" w:eastAsia="仿宋_GB2312" w:hAnsi="仿宋_GB2312" w:cs="仿宋_GB2312" w:hint="eastAsia"/>
          <w:spacing w:val="-2"/>
          <w:sz w:val="32"/>
          <w:szCs w:val="32"/>
        </w:rPr>
        <w:t>0</w:t>
      </w:r>
      <w:r>
        <w:rPr>
          <w:rFonts w:ascii="仿宋_GB2312" w:eastAsia="仿宋_GB2312" w:hAnsi="仿宋_GB2312" w:cs="仿宋_GB2312" w:hint="eastAsia"/>
          <w:spacing w:val="-2"/>
          <w:sz w:val="32"/>
          <w:szCs w:val="32"/>
        </w:rPr>
        <w:t>月</w:t>
      </w:r>
      <w:r>
        <w:rPr>
          <w:rFonts w:ascii="仿宋_GB2312" w:eastAsia="仿宋_GB2312" w:hAnsi="仿宋_GB2312" w:cs="仿宋_GB2312" w:hint="eastAsia"/>
          <w:spacing w:val="-2"/>
          <w:sz w:val="32"/>
          <w:szCs w:val="32"/>
        </w:rPr>
        <w:t>21</w:t>
      </w:r>
      <w:r>
        <w:rPr>
          <w:rFonts w:ascii="仿宋_GB2312" w:eastAsia="仿宋_GB2312" w:hAnsi="仿宋_GB2312" w:cs="仿宋_GB2312" w:hint="eastAsia"/>
          <w:spacing w:val="-2"/>
          <w:sz w:val="32"/>
          <w:szCs w:val="32"/>
        </w:rPr>
        <w:t>日</w:t>
      </w:r>
    </w:p>
    <w:p w:rsidR="00A852B0" w:rsidRDefault="00A852B0">
      <w:pPr>
        <w:pStyle w:val="Default"/>
        <w:rPr>
          <w:rFonts w:ascii="Times New Roman" w:eastAsiaTheme="minorEastAsia" w:cs="Times New Roman"/>
          <w:color w:val="auto"/>
        </w:rPr>
      </w:pPr>
      <w:bookmarkStart w:id="1" w:name="_GoBack"/>
      <w:bookmarkEnd w:id="1"/>
    </w:p>
    <w:sectPr w:rsidR="00A852B0">
      <w:headerReference w:type="default" r:id="rId8"/>
      <w:footerReference w:type="even" r:id="rId9"/>
      <w:footerReference w:type="default" r:id="rId10"/>
      <w:pgSz w:w="11906" w:h="16838"/>
      <w:pgMar w:top="2041" w:right="1474" w:bottom="1588" w:left="1588" w:header="851" w:footer="133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48EE" w:rsidRDefault="005948EE">
      <w:r>
        <w:separator/>
      </w:r>
    </w:p>
  </w:endnote>
  <w:endnote w:type="continuationSeparator" w:id="0">
    <w:p w:rsidR="005948EE" w:rsidRDefault="00594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DejaVu Math TeX Gyre">
    <w:panose1 w:val="02000503000000000000"/>
    <w:charset w:val="00"/>
    <w:family w:val="auto"/>
    <w:pitch w:val="variable"/>
    <w:sig w:usb0="A10000EF" w:usb1="4201F9EE" w:usb2="02000000" w:usb3="00000000" w:csb0="00000193"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2B0" w:rsidRDefault="005948EE">
    <w:pPr>
      <w:pStyle w:val="a9"/>
      <w:framePr w:wrap="around" w:vAnchor="text" w:hAnchor="margin" w:xAlign="center" w:y="1"/>
      <w:rPr>
        <w:rStyle w:val="ab"/>
      </w:rPr>
    </w:pPr>
    <w:r>
      <w:fldChar w:fldCharType="begin"/>
    </w:r>
    <w:r>
      <w:rPr>
        <w:rStyle w:val="ab"/>
      </w:rPr>
      <w:instrText xml:space="preserve">PAGE  </w:instrText>
    </w:r>
    <w:r>
      <w:fldChar w:fldCharType="end"/>
    </w:r>
  </w:p>
  <w:p w:rsidR="00A852B0" w:rsidRDefault="00A852B0">
    <w:pPr>
      <w:pStyle w:val="a9"/>
    </w:pPr>
  </w:p>
  <w:p w:rsidR="00A852B0" w:rsidRDefault="00A852B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2B0" w:rsidRDefault="005948EE">
    <w:pPr>
      <w:pStyle w:val="a9"/>
      <w:jc w:val="center"/>
      <w:rPr>
        <w:rFonts w:ascii="宋体" w:hAnsi="宋体"/>
        <w:sz w:val="28"/>
        <w:szCs w:val="28"/>
      </w:rPr>
    </w:pPr>
    <w:r>
      <w:rPr>
        <w:rFonts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 PAGE </w:instrText>
    </w:r>
    <w:r>
      <w:rPr>
        <w:rFonts w:ascii="宋体" w:hAnsi="宋体"/>
        <w:sz w:val="28"/>
        <w:szCs w:val="28"/>
      </w:rPr>
      <w:fldChar w:fldCharType="separate"/>
    </w:r>
    <w:r w:rsidR="00501677">
      <w:rPr>
        <w:rFonts w:ascii="宋体" w:hAnsi="宋体"/>
        <w:noProof/>
        <w:sz w:val="28"/>
        <w:szCs w:val="28"/>
      </w:rPr>
      <w:t>5</w:t>
    </w:r>
    <w:r>
      <w:rPr>
        <w:rFonts w:ascii="宋体" w:hAnsi="宋体"/>
        <w:sz w:val="28"/>
        <w:szCs w:val="28"/>
      </w:rPr>
      <w:fldChar w:fldCharType="end"/>
    </w:r>
    <w:r>
      <w:rPr>
        <w:rFonts w:ascii="宋体" w:hAnsi="宋体"/>
        <w:sz w:val="28"/>
        <w:szCs w:val="28"/>
      </w:rPr>
      <w:t xml:space="preserve"> -</w:t>
    </w:r>
  </w:p>
  <w:p w:rsidR="00A852B0" w:rsidRDefault="00A852B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48EE" w:rsidRDefault="005948EE">
      <w:r>
        <w:separator/>
      </w:r>
    </w:p>
  </w:footnote>
  <w:footnote w:type="continuationSeparator" w:id="0">
    <w:p w:rsidR="005948EE" w:rsidRDefault="005948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52B0" w:rsidRDefault="00A852B0">
    <w:pPr>
      <w:pStyle w:val="aa"/>
      <w:pBdr>
        <w:bottom w:val="none" w:sz="0" w:space="0" w:color="auto"/>
      </w:pBdr>
    </w:pPr>
  </w:p>
  <w:p w:rsidR="00A852B0" w:rsidRDefault="00A852B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F028D2"/>
    <w:multiLevelType w:val="multilevel"/>
    <w:tmpl w:val="50F028D2"/>
    <w:lvl w:ilvl="0">
      <w:start w:val="1"/>
      <w:numFmt w:val="decimal"/>
      <w:pStyle w:val="1"/>
      <w:lvlText w:val="%1"/>
      <w:lvlJc w:val="left"/>
      <w:pPr>
        <w:tabs>
          <w:tab w:val="left" w:pos="1370"/>
        </w:tabs>
        <w:ind w:left="1370" w:hanging="432"/>
      </w:pPr>
      <w:rPr>
        <w:rFonts w:cs="Times New Roman" w:hint="eastAsia"/>
      </w:rPr>
    </w:lvl>
    <w:lvl w:ilvl="1">
      <w:start w:val="1"/>
      <w:numFmt w:val="decimal"/>
      <w:lvlText w:val="%1.%2"/>
      <w:lvlJc w:val="left"/>
      <w:pPr>
        <w:tabs>
          <w:tab w:val="left" w:pos="1514"/>
        </w:tabs>
        <w:ind w:left="1514" w:hanging="576"/>
      </w:pPr>
      <w:rPr>
        <w:rFonts w:cs="Times New Roman" w:hint="eastAsia"/>
      </w:rPr>
    </w:lvl>
    <w:lvl w:ilvl="2">
      <w:start w:val="1"/>
      <w:numFmt w:val="decimal"/>
      <w:lvlText w:val="%1.%2.%3"/>
      <w:lvlJc w:val="left"/>
      <w:pPr>
        <w:tabs>
          <w:tab w:val="left" w:pos="1658"/>
        </w:tabs>
        <w:ind w:left="1658" w:hanging="720"/>
      </w:pPr>
      <w:rPr>
        <w:rFonts w:cs="Times New Roman" w:hint="eastAsia"/>
        <w:b w:val="0"/>
        <w:i w:val="0"/>
        <w:sz w:val="28"/>
      </w:rPr>
    </w:lvl>
    <w:lvl w:ilvl="3">
      <w:start w:val="1"/>
      <w:numFmt w:val="decimal"/>
      <w:lvlText w:val="%1.%2.%3.%4"/>
      <w:lvlJc w:val="left"/>
      <w:pPr>
        <w:tabs>
          <w:tab w:val="left" w:pos="1802"/>
        </w:tabs>
        <w:ind w:left="1802" w:hanging="864"/>
      </w:pPr>
      <w:rPr>
        <w:rFonts w:cs="Times New Roman" w:hint="eastAsia"/>
      </w:rPr>
    </w:lvl>
    <w:lvl w:ilvl="4">
      <w:start w:val="1"/>
      <w:numFmt w:val="decimal"/>
      <w:lvlText w:val="%1.%2.%3.%4.%5"/>
      <w:lvlJc w:val="left"/>
      <w:pPr>
        <w:tabs>
          <w:tab w:val="left" w:pos="1946"/>
        </w:tabs>
        <w:ind w:left="1946" w:hanging="1008"/>
      </w:pPr>
      <w:rPr>
        <w:rFonts w:cs="Times New Roman" w:hint="eastAsia"/>
      </w:rPr>
    </w:lvl>
    <w:lvl w:ilvl="5">
      <w:start w:val="1"/>
      <w:numFmt w:val="decimal"/>
      <w:lvlText w:val="%1.%2.%3.%4.%5.%6"/>
      <w:lvlJc w:val="left"/>
      <w:pPr>
        <w:tabs>
          <w:tab w:val="left" w:pos="2090"/>
        </w:tabs>
        <w:ind w:left="2090" w:hanging="1152"/>
      </w:pPr>
      <w:rPr>
        <w:rFonts w:cs="Times New Roman" w:hint="eastAsia"/>
      </w:rPr>
    </w:lvl>
    <w:lvl w:ilvl="6">
      <w:start w:val="1"/>
      <w:numFmt w:val="decimal"/>
      <w:lvlText w:val="%1.%2.%3.%4.%5.%6.%7"/>
      <w:lvlJc w:val="left"/>
      <w:pPr>
        <w:tabs>
          <w:tab w:val="left" w:pos="2234"/>
        </w:tabs>
        <w:ind w:left="2234" w:hanging="1296"/>
      </w:pPr>
      <w:rPr>
        <w:rFonts w:cs="Times New Roman" w:hint="eastAsia"/>
      </w:rPr>
    </w:lvl>
    <w:lvl w:ilvl="7">
      <w:start w:val="1"/>
      <w:numFmt w:val="decimal"/>
      <w:lvlText w:val="%1.%2.%3.%4.%5.%6.%7.%8"/>
      <w:lvlJc w:val="left"/>
      <w:pPr>
        <w:tabs>
          <w:tab w:val="left" w:pos="2378"/>
        </w:tabs>
        <w:ind w:left="2378" w:hanging="1440"/>
      </w:pPr>
      <w:rPr>
        <w:rFonts w:cs="Times New Roman" w:hint="eastAsia"/>
      </w:rPr>
    </w:lvl>
    <w:lvl w:ilvl="8">
      <w:start w:val="1"/>
      <w:numFmt w:val="decimal"/>
      <w:lvlText w:val="%1.%2.%3.%4.%5.%6.%7.%8.%9"/>
      <w:lvlJc w:val="left"/>
      <w:pPr>
        <w:tabs>
          <w:tab w:val="left" w:pos="2522"/>
        </w:tabs>
        <w:ind w:left="2522" w:hanging="1584"/>
      </w:pPr>
      <w:rPr>
        <w:rFonts w:cs="Times New Roman"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7"/>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MwMGFhOWZmOTdmMGNiNjE0MTk2ODc4YzY2YjQ2MzEifQ=="/>
  </w:docVars>
  <w:rsids>
    <w:rsidRoot w:val="410B6A5F"/>
    <w:rsid w:val="00501677"/>
    <w:rsid w:val="005948EE"/>
    <w:rsid w:val="00A852B0"/>
    <w:rsid w:val="026871D0"/>
    <w:rsid w:val="0285033E"/>
    <w:rsid w:val="02CE2E4C"/>
    <w:rsid w:val="03C930BD"/>
    <w:rsid w:val="04932B11"/>
    <w:rsid w:val="068B5923"/>
    <w:rsid w:val="07B471FE"/>
    <w:rsid w:val="08FF3F01"/>
    <w:rsid w:val="09C76BC9"/>
    <w:rsid w:val="0A133D15"/>
    <w:rsid w:val="0A852B6F"/>
    <w:rsid w:val="0C861185"/>
    <w:rsid w:val="0CB65198"/>
    <w:rsid w:val="0E665368"/>
    <w:rsid w:val="1158632A"/>
    <w:rsid w:val="117C330E"/>
    <w:rsid w:val="11CE72AB"/>
    <w:rsid w:val="14412FA9"/>
    <w:rsid w:val="152E650F"/>
    <w:rsid w:val="1720665E"/>
    <w:rsid w:val="18695DE3"/>
    <w:rsid w:val="19CF5ABD"/>
    <w:rsid w:val="1A50725A"/>
    <w:rsid w:val="1B5C643E"/>
    <w:rsid w:val="1D1A58FD"/>
    <w:rsid w:val="1F8B3B8B"/>
    <w:rsid w:val="1FDF3FD0"/>
    <w:rsid w:val="1FE45B87"/>
    <w:rsid w:val="1FEC0EE3"/>
    <w:rsid w:val="20066418"/>
    <w:rsid w:val="20642787"/>
    <w:rsid w:val="20CC4B12"/>
    <w:rsid w:val="21385D37"/>
    <w:rsid w:val="223E258C"/>
    <w:rsid w:val="231D24E3"/>
    <w:rsid w:val="236264C6"/>
    <w:rsid w:val="23F80738"/>
    <w:rsid w:val="26573B9B"/>
    <w:rsid w:val="26957247"/>
    <w:rsid w:val="27BC248B"/>
    <w:rsid w:val="27CB7B5F"/>
    <w:rsid w:val="292C7C80"/>
    <w:rsid w:val="2B415A8D"/>
    <w:rsid w:val="2C236BAF"/>
    <w:rsid w:val="2D7746A6"/>
    <w:rsid w:val="2E113916"/>
    <w:rsid w:val="2EB24F02"/>
    <w:rsid w:val="2F056713"/>
    <w:rsid w:val="31CB6BC1"/>
    <w:rsid w:val="332F7F28"/>
    <w:rsid w:val="34180991"/>
    <w:rsid w:val="345B2BFE"/>
    <w:rsid w:val="34785525"/>
    <w:rsid w:val="35E536EA"/>
    <w:rsid w:val="36FC1B14"/>
    <w:rsid w:val="37C338B3"/>
    <w:rsid w:val="38E61E3B"/>
    <w:rsid w:val="39561D2C"/>
    <w:rsid w:val="3AFF372F"/>
    <w:rsid w:val="3C85043D"/>
    <w:rsid w:val="3D4A3CFF"/>
    <w:rsid w:val="3D7F6C45"/>
    <w:rsid w:val="3EC57D08"/>
    <w:rsid w:val="410B6A5F"/>
    <w:rsid w:val="42E35F26"/>
    <w:rsid w:val="441A20EA"/>
    <w:rsid w:val="454F3059"/>
    <w:rsid w:val="45AE0F60"/>
    <w:rsid w:val="46AE2A8F"/>
    <w:rsid w:val="47341BB2"/>
    <w:rsid w:val="473E36C8"/>
    <w:rsid w:val="47537093"/>
    <w:rsid w:val="477F6C5D"/>
    <w:rsid w:val="47EB7590"/>
    <w:rsid w:val="47F023AF"/>
    <w:rsid w:val="4875046F"/>
    <w:rsid w:val="4E7E7CCE"/>
    <w:rsid w:val="4F3B4D8B"/>
    <w:rsid w:val="4FE44DD1"/>
    <w:rsid w:val="502A6DAE"/>
    <w:rsid w:val="51194E54"/>
    <w:rsid w:val="545569BE"/>
    <w:rsid w:val="575140B2"/>
    <w:rsid w:val="5A267BD2"/>
    <w:rsid w:val="5B5704CE"/>
    <w:rsid w:val="5D413CE3"/>
    <w:rsid w:val="5D6610B7"/>
    <w:rsid w:val="5FF2068A"/>
    <w:rsid w:val="600270BA"/>
    <w:rsid w:val="61312F5B"/>
    <w:rsid w:val="63FF5754"/>
    <w:rsid w:val="64161140"/>
    <w:rsid w:val="646310A2"/>
    <w:rsid w:val="6497724C"/>
    <w:rsid w:val="671E6EBA"/>
    <w:rsid w:val="680A3979"/>
    <w:rsid w:val="6DCF1233"/>
    <w:rsid w:val="6E933305"/>
    <w:rsid w:val="6EF54186"/>
    <w:rsid w:val="6F5F7441"/>
    <w:rsid w:val="70143BFB"/>
    <w:rsid w:val="71D961AA"/>
    <w:rsid w:val="72161365"/>
    <w:rsid w:val="72780376"/>
    <w:rsid w:val="7295022D"/>
    <w:rsid w:val="73486C5E"/>
    <w:rsid w:val="74065409"/>
    <w:rsid w:val="74092D09"/>
    <w:rsid w:val="743042BF"/>
    <w:rsid w:val="74597CAA"/>
    <w:rsid w:val="7B73493B"/>
    <w:rsid w:val="7C413482"/>
    <w:rsid w:val="7C5C23B0"/>
    <w:rsid w:val="7DB913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CBEBF6B-98C4-4864-9A80-3CBEA5112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Normal Indent"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Salutation" w:qFormat="1"/>
    <w:lsdException w:name="Body Text First Indent 2" w:qFormat="1"/>
    <w:lsdException w:name="Body Text 2"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autoRedefine/>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autoRedefine/>
    <w:qFormat/>
    <w:pPr>
      <w:keepNext/>
      <w:keepLines/>
      <w:numPr>
        <w:numId w:val="1"/>
      </w:numPr>
      <w:tabs>
        <w:tab w:val="left" w:pos="432"/>
      </w:tabs>
      <w:spacing w:line="360" w:lineRule="auto"/>
      <w:ind w:left="0" w:firstLine="0"/>
      <w:jc w:val="center"/>
      <w:outlineLvl w:val="0"/>
    </w:pPr>
    <w:rPr>
      <w:b/>
      <w:kern w:val="44"/>
      <w:sz w:val="36"/>
      <w:szCs w:val="44"/>
    </w:rPr>
  </w:style>
  <w:style w:type="paragraph" w:styleId="2">
    <w:name w:val="heading 2"/>
    <w:basedOn w:val="a"/>
    <w:next w:val="a"/>
    <w:link w:val="2Char"/>
    <w:autoRedefine/>
    <w:semiHidden/>
    <w:unhideWhenUsed/>
    <w:qFormat/>
    <w:pPr>
      <w:spacing w:line="360" w:lineRule="auto"/>
      <w:outlineLvl w:val="1"/>
    </w:pPr>
    <w:rPr>
      <w:b/>
      <w:bCs/>
      <w:sz w:val="24"/>
      <w:szCs w:val="32"/>
    </w:rPr>
  </w:style>
  <w:style w:type="paragraph" w:styleId="3">
    <w:name w:val="heading 3"/>
    <w:basedOn w:val="a"/>
    <w:next w:val="a"/>
    <w:link w:val="3Char"/>
    <w:autoRedefine/>
    <w:semiHidden/>
    <w:unhideWhenUsed/>
    <w:qFormat/>
    <w:pPr>
      <w:snapToGrid w:val="0"/>
      <w:spacing w:line="360" w:lineRule="auto"/>
      <w:outlineLvl w:val="2"/>
    </w:pPr>
    <w:rPr>
      <w:b/>
      <w:bCs/>
      <w:sz w:val="28"/>
      <w:szCs w:val="32"/>
    </w:rPr>
  </w:style>
  <w:style w:type="paragraph" w:styleId="4">
    <w:name w:val="heading 4"/>
    <w:basedOn w:val="a"/>
    <w:next w:val="a"/>
    <w:link w:val="4Char"/>
    <w:autoRedefine/>
    <w:semiHidden/>
    <w:unhideWhenUsed/>
    <w:qFormat/>
    <w:pPr>
      <w:keepNext/>
      <w:keepLines/>
      <w:spacing w:line="360" w:lineRule="auto"/>
      <w:outlineLvl w:val="3"/>
    </w:pPr>
    <w:rPr>
      <w:rFonts w:ascii="Arial" w:hAnsi="Arial"/>
      <w:b/>
      <w:bCs/>
      <w:snapToGrid w:val="0"/>
      <w:kern w:val="0"/>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xl27"/>
    <w:autoRedefine/>
    <w:qFormat/>
    <w:pPr>
      <w:spacing w:line="360" w:lineRule="auto"/>
      <w:ind w:firstLineChars="200" w:firstLine="631"/>
    </w:pPr>
    <w:rPr>
      <w:rFonts w:ascii="宋体" w:hAnsi="宋体" w:cs="宋体"/>
      <w:sz w:val="28"/>
    </w:rPr>
  </w:style>
  <w:style w:type="paragraph" w:customStyle="1" w:styleId="xl27">
    <w:name w:val="xl27"/>
    <w:basedOn w:val="a"/>
    <w:next w:val="A4"/>
    <w:qFormat/>
    <w:pPr>
      <w:widowControl/>
      <w:pBdr>
        <w:bottom w:val="single" w:sz="8" w:space="0" w:color="auto"/>
        <w:right w:val="single" w:sz="8" w:space="0" w:color="auto"/>
      </w:pBdr>
      <w:spacing w:before="100" w:beforeAutospacing="1" w:after="100" w:afterAutospacing="1"/>
      <w:jc w:val="left"/>
      <w:textAlignment w:val="top"/>
    </w:pPr>
    <w:rPr>
      <w:rFonts w:ascii="宋体" w:hAnsi="宋体"/>
      <w:kern w:val="0"/>
      <w:sz w:val="20"/>
      <w:szCs w:val="20"/>
    </w:rPr>
  </w:style>
  <w:style w:type="paragraph" w:customStyle="1" w:styleId="A4">
    <w:name w:val="A正文"/>
    <w:basedOn w:val="a"/>
    <w:qFormat/>
    <w:pPr>
      <w:adjustRightInd w:val="0"/>
      <w:snapToGrid w:val="0"/>
      <w:spacing w:line="360" w:lineRule="auto"/>
      <w:ind w:firstLineChars="200" w:firstLine="480"/>
    </w:pPr>
    <w:rPr>
      <w:kern w:val="0"/>
      <w:sz w:val="24"/>
    </w:rPr>
  </w:style>
  <w:style w:type="paragraph" w:styleId="a5">
    <w:name w:val="Normal Indent"/>
    <w:basedOn w:val="a"/>
    <w:next w:val="20"/>
    <w:link w:val="Char"/>
    <w:autoRedefine/>
    <w:qFormat/>
    <w:pPr>
      <w:jc w:val="center"/>
    </w:pPr>
    <w:rPr>
      <w:rFonts w:ascii="宋体" w:hAnsi="宋体"/>
      <w:b/>
    </w:rPr>
  </w:style>
  <w:style w:type="paragraph" w:styleId="20">
    <w:name w:val="Body Text First Indent 2"/>
    <w:basedOn w:val="a6"/>
    <w:qFormat/>
    <w:pPr>
      <w:ind w:firstLineChars="200" w:firstLine="420"/>
    </w:pPr>
  </w:style>
  <w:style w:type="paragraph" w:styleId="a6">
    <w:name w:val="Body Text Indent"/>
    <w:basedOn w:val="a"/>
    <w:autoRedefine/>
    <w:qFormat/>
    <w:pPr>
      <w:spacing w:after="120"/>
      <w:ind w:leftChars="200" w:left="420"/>
    </w:pPr>
  </w:style>
  <w:style w:type="paragraph" w:styleId="a7">
    <w:name w:val="Salutation"/>
    <w:basedOn w:val="a"/>
    <w:next w:val="a"/>
    <w:autoRedefine/>
    <w:qFormat/>
  </w:style>
  <w:style w:type="paragraph" w:styleId="30">
    <w:name w:val="toc 3"/>
    <w:basedOn w:val="a"/>
    <w:next w:val="a"/>
    <w:link w:val="3Char0"/>
    <w:autoRedefine/>
    <w:qFormat/>
    <w:rPr>
      <w:sz w:val="28"/>
    </w:rPr>
  </w:style>
  <w:style w:type="paragraph" w:styleId="a8">
    <w:name w:val="Plain Text"/>
    <w:basedOn w:val="a"/>
    <w:next w:val="a7"/>
    <w:autoRedefine/>
    <w:qFormat/>
    <w:rPr>
      <w:rFonts w:ascii="宋体" w:hAnsi="宋体" w:cstheme="minorBidi"/>
      <w:szCs w:val="21"/>
    </w:rPr>
  </w:style>
  <w:style w:type="paragraph" w:styleId="a9">
    <w:name w:val="footer"/>
    <w:basedOn w:val="a"/>
    <w:next w:val="a"/>
    <w:qFormat/>
    <w:pPr>
      <w:tabs>
        <w:tab w:val="center" w:pos="4153"/>
        <w:tab w:val="right" w:pos="8306"/>
      </w:tabs>
      <w:snapToGrid w:val="0"/>
      <w:jc w:val="left"/>
    </w:pPr>
    <w:rPr>
      <w:sz w:val="18"/>
      <w:szCs w:val="18"/>
    </w:rPr>
  </w:style>
  <w:style w:type="paragraph" w:styleId="aa">
    <w:name w:val="header"/>
    <w:basedOn w:val="a"/>
    <w:autoRedefine/>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autoRedefine/>
    <w:qFormat/>
    <w:pPr>
      <w:spacing w:before="120" w:after="120"/>
    </w:pPr>
    <w:rPr>
      <w:b/>
      <w:bCs/>
      <w:caps/>
      <w:snapToGrid w:val="0"/>
      <w:kern w:val="0"/>
      <w:sz w:val="28"/>
      <w:szCs w:val="20"/>
    </w:rPr>
  </w:style>
  <w:style w:type="paragraph" w:styleId="21">
    <w:name w:val="toc 2"/>
    <w:basedOn w:val="a"/>
    <w:next w:val="a"/>
    <w:autoRedefine/>
    <w:qFormat/>
    <w:rPr>
      <w:smallCaps/>
      <w:snapToGrid w:val="0"/>
      <w:kern w:val="0"/>
      <w:sz w:val="24"/>
      <w:szCs w:val="20"/>
    </w:rPr>
  </w:style>
  <w:style w:type="paragraph" w:styleId="22">
    <w:name w:val="Body Text 2"/>
    <w:basedOn w:val="a"/>
    <w:autoRedefine/>
    <w:qFormat/>
    <w:pPr>
      <w:spacing w:after="120" w:line="480" w:lineRule="auto"/>
    </w:pPr>
  </w:style>
  <w:style w:type="character" w:styleId="ab">
    <w:name w:val="page number"/>
    <w:basedOn w:val="a1"/>
    <w:qFormat/>
  </w:style>
  <w:style w:type="paragraph" w:customStyle="1" w:styleId="ac">
    <w:name w:val="表格"/>
    <w:basedOn w:val="a6"/>
    <w:next w:val="a"/>
    <w:link w:val="Char0"/>
    <w:autoRedefine/>
    <w:qFormat/>
    <w:pPr>
      <w:ind w:leftChars="0" w:left="0"/>
      <w:jc w:val="center"/>
    </w:pPr>
  </w:style>
  <w:style w:type="paragraph" w:customStyle="1" w:styleId="ad">
    <w:name w:val="表头"/>
    <w:basedOn w:val="a0"/>
    <w:next w:val="a"/>
    <w:link w:val="Char1"/>
    <w:autoRedefine/>
    <w:qFormat/>
    <w:pPr>
      <w:jc w:val="center"/>
    </w:pPr>
    <w:rPr>
      <w:rFonts w:ascii="Times New Roman" w:hAnsi="Times New Roman" w:cs="Times New Roman"/>
      <w:b/>
      <w:kern w:val="0"/>
      <w:sz w:val="21"/>
      <w:szCs w:val="20"/>
    </w:rPr>
  </w:style>
  <w:style w:type="character" w:customStyle="1" w:styleId="Char0">
    <w:name w:val="表格 Char"/>
    <w:link w:val="ac"/>
    <w:autoRedefine/>
    <w:qFormat/>
    <w:locked/>
    <w:rPr>
      <w:rFonts w:ascii="Times New Roman" w:eastAsia="宋体" w:hAnsi="Times New Roman" w:cs="Times New Roman" w:hint="eastAsia"/>
      <w:spacing w:val="-10"/>
      <w:sz w:val="21"/>
      <w:szCs w:val="24"/>
    </w:rPr>
  </w:style>
  <w:style w:type="character" w:customStyle="1" w:styleId="1Char">
    <w:name w:val="标题 1 Char"/>
    <w:link w:val="1"/>
    <w:autoRedefine/>
    <w:qFormat/>
    <w:rPr>
      <w:rFonts w:ascii="Times New Roman" w:eastAsia="宋体" w:hAnsi="Times New Roman"/>
      <w:b/>
      <w:kern w:val="44"/>
      <w:sz w:val="36"/>
      <w:szCs w:val="44"/>
    </w:rPr>
  </w:style>
  <w:style w:type="character" w:customStyle="1" w:styleId="2Char">
    <w:name w:val="标题 2 Char"/>
    <w:basedOn w:val="a1"/>
    <w:link w:val="2"/>
    <w:autoRedefine/>
    <w:qFormat/>
    <w:rPr>
      <w:rFonts w:ascii="Arial" w:eastAsia="宋体" w:hAnsi="Arial" w:cs="Times New Roman"/>
      <w:b/>
      <w:bCs/>
      <w:sz w:val="28"/>
      <w:szCs w:val="32"/>
    </w:rPr>
  </w:style>
  <w:style w:type="character" w:customStyle="1" w:styleId="3Char">
    <w:name w:val="标题 3 Char"/>
    <w:basedOn w:val="a1"/>
    <w:link w:val="3"/>
    <w:autoRedefine/>
    <w:qFormat/>
    <w:rPr>
      <w:rFonts w:ascii="Times New Roman" w:eastAsia="宋体" w:hAnsi="Times New Roman" w:cs="Times New Roman"/>
      <w:b/>
      <w:bCs/>
      <w:sz w:val="28"/>
      <w:szCs w:val="32"/>
    </w:rPr>
  </w:style>
  <w:style w:type="paragraph" w:customStyle="1" w:styleId="11">
    <w:name w:val="表格1"/>
    <w:basedOn w:val="a"/>
    <w:autoRedefine/>
    <w:qFormat/>
    <w:pPr>
      <w:jc w:val="center"/>
    </w:pPr>
    <w:rPr>
      <w:sz w:val="24"/>
    </w:rPr>
  </w:style>
  <w:style w:type="character" w:customStyle="1" w:styleId="Char">
    <w:name w:val="正文缩进 Char"/>
    <w:link w:val="a5"/>
    <w:autoRedefine/>
    <w:qFormat/>
    <w:rPr>
      <w:rFonts w:ascii="宋体" w:eastAsia="宋体" w:hAnsi="宋体" w:cs="Times New Roman"/>
      <w:b/>
      <w:sz w:val="24"/>
    </w:rPr>
  </w:style>
  <w:style w:type="character" w:customStyle="1" w:styleId="Char1">
    <w:name w:val="表头 Char"/>
    <w:link w:val="ad"/>
    <w:autoRedefine/>
    <w:qFormat/>
    <w:rPr>
      <w:rFonts w:ascii="Times New Roman" w:eastAsia="宋体" w:hAnsi="Times New Roman" w:cs="Times New Roman"/>
      <w:b/>
      <w:kern w:val="0"/>
      <w:sz w:val="18"/>
      <w:szCs w:val="20"/>
      <w:lang w:eastAsia="en-US"/>
    </w:rPr>
  </w:style>
  <w:style w:type="character" w:customStyle="1" w:styleId="4Char">
    <w:name w:val="标题 4 Char"/>
    <w:basedOn w:val="a1"/>
    <w:link w:val="4"/>
    <w:autoRedefine/>
    <w:qFormat/>
    <w:rPr>
      <w:rFonts w:ascii="Arial" w:eastAsia="宋体" w:hAnsi="Arial" w:cs="Times New Roman"/>
      <w:b/>
      <w:bCs/>
      <w:snapToGrid w:val="0"/>
      <w:kern w:val="0"/>
      <w:sz w:val="28"/>
      <w:szCs w:val="28"/>
    </w:rPr>
  </w:style>
  <w:style w:type="character" w:customStyle="1" w:styleId="3Char0">
    <w:name w:val="目录 3 Char"/>
    <w:link w:val="30"/>
    <w:autoRedefine/>
    <w:uiPriority w:val="39"/>
    <w:qFormat/>
    <w:rPr>
      <w:rFonts w:ascii="Times New Roman" w:eastAsia="宋体" w:hAnsi="Times New Roman" w:cs="Times New Roman"/>
      <w:sz w:val="28"/>
      <w:szCs w:val="22"/>
    </w:rPr>
  </w:style>
  <w:style w:type="paragraph" w:customStyle="1" w:styleId="12">
    <w:name w:val="正文1"/>
    <w:basedOn w:val="a"/>
    <w:qFormat/>
    <w:pPr>
      <w:adjustRightInd w:val="0"/>
      <w:snapToGrid w:val="0"/>
      <w:spacing w:line="360" w:lineRule="auto"/>
      <w:ind w:firstLine="482"/>
    </w:pPr>
    <w:rPr>
      <w:rFonts w:ascii="宋体" w:hAnsi="宋体"/>
      <w:kern w:val="0"/>
      <w:sz w:val="24"/>
    </w:rPr>
  </w:style>
  <w:style w:type="paragraph" w:customStyle="1" w:styleId="Default">
    <w:name w:val="Default"/>
    <w:qFormat/>
    <w:pPr>
      <w:widowControl w:val="0"/>
      <w:autoSpaceDE w:val="0"/>
      <w:autoSpaceDN w:val="0"/>
      <w:adjustRightInd w:val="0"/>
    </w:pPr>
    <w:rPr>
      <w:rFonts w:ascii="DejaVu Math TeX Gyre" w:eastAsia="DejaVu Math TeX Gyre" w:hAnsi="Times New Roman" w:cs="DejaVu Math TeX Gyr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396</Words>
  <Characters>2262</Characters>
  <Application>Microsoft Office Word</Application>
  <DocSecurity>0</DocSecurity>
  <Lines>18</Lines>
  <Paragraphs>5</Paragraphs>
  <ScaleCrop>false</ScaleCrop>
  <Company/>
  <LinksUpToDate>false</LinksUpToDate>
  <CharactersWithSpaces>2653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Exit</dc:creator>
  <cp:lastModifiedBy>杨晴</cp:lastModifiedBy>
  <cp:revision>2</cp:revision>
  <dcterms:created xsi:type="dcterms:W3CDTF">2024-10-17T07:44:00Z</dcterms:created>
  <dcterms:modified xsi:type="dcterms:W3CDTF">2024-10-22T02:39:00Z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19197519608645C98916A2502B8C6625_11</vt:lpwstr>
  </property>
</Properties>
</file>